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6C490" w14:textId="0AEA0355" w:rsidR="00F9362B" w:rsidRDefault="00F9362B" w:rsidP="00570802">
      <w:pPr>
        <w:tabs>
          <w:tab w:val="left" w:pos="7860"/>
        </w:tabs>
        <w:rPr>
          <w:sz w:val="24"/>
          <w:szCs w:val="24"/>
        </w:rPr>
      </w:pPr>
    </w:p>
    <w:p w14:paraId="4E8E8542" w14:textId="305D32B4" w:rsidR="00F9362B" w:rsidRDefault="00F9362B" w:rsidP="00570802">
      <w:pPr>
        <w:tabs>
          <w:tab w:val="left" w:pos="7860"/>
        </w:tabs>
        <w:rPr>
          <w:sz w:val="24"/>
          <w:szCs w:val="24"/>
        </w:rPr>
      </w:pPr>
    </w:p>
    <w:p w14:paraId="1E1372FF" w14:textId="130E88C0" w:rsidR="00F9362B" w:rsidRDefault="003B017D" w:rsidP="00570802">
      <w:pPr>
        <w:tabs>
          <w:tab w:val="left" w:pos="7860"/>
        </w:tabs>
        <w:rPr>
          <w:sz w:val="24"/>
          <w:szCs w:val="24"/>
        </w:rPr>
      </w:pPr>
      <w:r>
        <w:rPr>
          <w:sz w:val="24"/>
          <w:szCs w:val="24"/>
        </w:rPr>
        <w:t xml:space="preserve">Çizelge: </w:t>
      </w:r>
      <w:proofErr w:type="spellStart"/>
      <w:r w:rsidRPr="003B017D">
        <w:rPr>
          <w:i/>
          <w:sz w:val="24"/>
          <w:szCs w:val="24"/>
        </w:rPr>
        <w:t>H.halys</w:t>
      </w:r>
      <w:proofErr w:type="spellEnd"/>
      <w:r>
        <w:rPr>
          <w:sz w:val="24"/>
          <w:szCs w:val="24"/>
        </w:rPr>
        <w:t xml:space="preserve"> mücadelesinde kullanılmak üzere verilen aktif madde listesi</w:t>
      </w:r>
    </w:p>
    <w:tbl>
      <w:tblPr>
        <w:tblStyle w:val="TabloKlavuzu"/>
        <w:tblpPr w:leftFromText="141" w:rightFromText="141" w:vertAnchor="text" w:horzAnchor="margin" w:tblpY="381"/>
        <w:tblW w:w="15871" w:type="dxa"/>
        <w:tblLook w:val="04A0" w:firstRow="1" w:lastRow="0" w:firstColumn="1" w:lastColumn="0" w:noHBand="0" w:noVBand="1"/>
      </w:tblPr>
      <w:tblGrid>
        <w:gridCol w:w="846"/>
        <w:gridCol w:w="1011"/>
        <w:gridCol w:w="4820"/>
        <w:gridCol w:w="797"/>
        <w:gridCol w:w="1701"/>
        <w:gridCol w:w="1877"/>
        <w:gridCol w:w="1984"/>
        <w:gridCol w:w="2835"/>
      </w:tblGrid>
      <w:tr w:rsidR="007B16E5" w:rsidRPr="004A4D94" w14:paraId="1F74759D" w14:textId="77777777" w:rsidTr="006B44A4">
        <w:trPr>
          <w:trHeight w:val="495"/>
        </w:trPr>
        <w:tc>
          <w:tcPr>
            <w:tcW w:w="846" w:type="dxa"/>
            <w:shd w:val="clear" w:color="auto" w:fill="auto"/>
            <w:noWrap/>
            <w:vAlign w:val="center"/>
          </w:tcPr>
          <w:p w14:paraId="5F6744C6" w14:textId="77777777" w:rsidR="007B16E5" w:rsidRPr="00DD0D79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</w:rPr>
            </w:pPr>
            <w:bookmarkStart w:id="0" w:name="_Hlk168313666"/>
          </w:p>
        </w:tc>
        <w:tc>
          <w:tcPr>
            <w:tcW w:w="1011" w:type="dxa"/>
            <w:shd w:val="clear" w:color="auto" w:fill="auto"/>
            <w:vAlign w:val="center"/>
          </w:tcPr>
          <w:p w14:paraId="17C63F77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</w:rPr>
            </w:pPr>
            <w:r w:rsidRPr="004A4D94">
              <w:rPr>
                <w:b/>
                <w:bCs/>
              </w:rPr>
              <w:t>Bitki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B7D8269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</w:rPr>
            </w:pPr>
            <w:r w:rsidRPr="004A4D94">
              <w:rPr>
                <w:b/>
                <w:bCs/>
              </w:rPr>
              <w:t>Aktif Madde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14:paraId="0900C93E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</w:rPr>
            </w:pPr>
            <w:r w:rsidRPr="004A4D94">
              <w:rPr>
                <w:b/>
                <w:bCs/>
              </w:rPr>
              <w:t>Form.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513DB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</w:rPr>
            </w:pPr>
            <w:r w:rsidRPr="004A4D94">
              <w:rPr>
                <w:b/>
                <w:bCs/>
              </w:rPr>
              <w:t>Doz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5547AB93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</w:rPr>
            </w:pPr>
            <w:r w:rsidRPr="004A4D94">
              <w:rPr>
                <w:b/>
                <w:bCs/>
              </w:rPr>
              <w:t>Maksimum Kalıntı Limiti MRL(mg/kg)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8DF959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</w:rPr>
            </w:pPr>
            <w:r w:rsidRPr="004A4D94">
              <w:rPr>
                <w:b/>
                <w:bCs/>
              </w:rPr>
              <w:t>Son ilaçlama ile hasat asında geçmesi gereken süre (PHI) (gün)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A3A819" w14:textId="3E40424B" w:rsidR="007B16E5" w:rsidRPr="00B10C1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  <w:vertAlign w:val="superscript"/>
              </w:rPr>
            </w:pPr>
            <w:r w:rsidRPr="004A4D94">
              <w:rPr>
                <w:b/>
                <w:bCs/>
              </w:rPr>
              <w:t>Geçici BKÜ tavsiyesi geçerlilik süresi</w:t>
            </w:r>
            <w:r w:rsidR="002B40FF">
              <w:rPr>
                <w:b/>
                <w:bCs/>
                <w:vertAlign w:val="superscript"/>
              </w:rPr>
              <w:t xml:space="preserve"> </w:t>
            </w:r>
            <w:r w:rsidR="002B40FF" w:rsidRPr="002B40FF">
              <w:rPr>
                <w:b/>
                <w:bCs/>
              </w:rPr>
              <w:t>(2025)</w:t>
            </w:r>
          </w:p>
        </w:tc>
      </w:tr>
      <w:tr w:rsidR="006B44A4" w:rsidRPr="004A4D94" w14:paraId="39B6AA49" w14:textId="77777777" w:rsidTr="006B44A4">
        <w:trPr>
          <w:cantSplit/>
          <w:trHeight w:val="298"/>
        </w:trPr>
        <w:tc>
          <w:tcPr>
            <w:tcW w:w="846" w:type="dxa"/>
            <w:vMerge w:val="restart"/>
            <w:shd w:val="clear" w:color="auto" w:fill="auto"/>
            <w:noWrap/>
            <w:textDirection w:val="btLr"/>
            <w:vAlign w:val="center"/>
          </w:tcPr>
          <w:p w14:paraId="51D0DA28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jc w:val="center"/>
              <w:rPr>
                <w:i/>
                <w:iCs/>
                <w:u w:val="single"/>
              </w:rPr>
            </w:pPr>
            <w:r w:rsidRPr="004A4D94">
              <w:rPr>
                <w:b/>
                <w:bCs/>
                <w:u w:val="single"/>
              </w:rPr>
              <w:t>Zararlı Organizma</w:t>
            </w:r>
          </w:p>
          <w:p w14:paraId="544E0D5E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jc w:val="center"/>
              <w:rPr>
                <w:b/>
                <w:bCs/>
                <w:u w:val="single"/>
              </w:rPr>
            </w:pPr>
            <w:proofErr w:type="spellStart"/>
            <w:r w:rsidRPr="004A4D94">
              <w:rPr>
                <w:i/>
                <w:iCs/>
              </w:rPr>
              <w:t>Halyomorpha</w:t>
            </w:r>
            <w:proofErr w:type="spellEnd"/>
            <w:r w:rsidRPr="004A4D94">
              <w:rPr>
                <w:i/>
                <w:iCs/>
              </w:rPr>
              <w:t xml:space="preserve"> </w:t>
            </w:r>
            <w:proofErr w:type="spellStart"/>
            <w:r w:rsidRPr="004A4D94">
              <w:rPr>
                <w:i/>
                <w:iCs/>
              </w:rPr>
              <w:t>halys</w:t>
            </w:r>
            <w:proofErr w:type="spellEnd"/>
            <w:r w:rsidRPr="004A4D94">
              <w:rPr>
                <w:i/>
                <w:iCs/>
              </w:rPr>
              <w:t xml:space="preserve"> (</w:t>
            </w:r>
            <w:r w:rsidRPr="004A4D94">
              <w:t>Kahverengi kokarca)</w:t>
            </w:r>
          </w:p>
        </w:tc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14:paraId="5163AB03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Domates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77A46016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 xml:space="preserve">%35 </w:t>
            </w:r>
            <w:proofErr w:type="spellStart"/>
            <w:r w:rsidRPr="004A4D94">
              <w:t>Chlorantraniliprole</w:t>
            </w:r>
            <w:proofErr w:type="spellEnd"/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78072F90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>WG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46B8A604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>12 g/da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34C5C74A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>0,6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227B2193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>1 gün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8C3C703" w14:textId="5C16B063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="007B16E5" w:rsidRPr="004A4D94">
              <w:t>5 Haziran – 15 Ekim</w:t>
            </w:r>
          </w:p>
        </w:tc>
      </w:tr>
      <w:tr w:rsidR="006B44A4" w:rsidRPr="004A4D94" w14:paraId="57FC8702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FAF9773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  <w:u w:val="single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vAlign w:val="center"/>
          </w:tcPr>
          <w:p w14:paraId="7E51E3F3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26A2E4EE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50 g/l </w:t>
            </w:r>
            <w:proofErr w:type="spellStart"/>
            <w:r w:rsidRPr="004A4D94">
              <w:t>Lambda-cyhalothrin</w:t>
            </w:r>
            <w:proofErr w:type="spellEnd"/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5235377B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CS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5E9E4C4A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50 ml /da 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79E18E38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0,07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5D19E44A" w14:textId="7212A281" w:rsidR="007B16E5" w:rsidRPr="004A4D94" w:rsidRDefault="006D3A3A" w:rsidP="00C50DAA">
            <w:pPr>
              <w:widowControl/>
              <w:autoSpaceDE/>
              <w:autoSpaceDN/>
              <w:spacing w:line="259" w:lineRule="auto"/>
            </w:pPr>
            <w:r>
              <w:t>7</w:t>
            </w:r>
            <w:r w:rsidR="007B16E5" w:rsidRPr="004A4D94">
              <w:t xml:space="preserve"> gün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57E517" w14:textId="4A396BFD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6B44A4" w:rsidRPr="004A4D94" w14:paraId="50DCC85F" w14:textId="77777777" w:rsidTr="006B44A4">
        <w:trPr>
          <w:cantSplit/>
          <w:trHeight w:val="135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DD447E6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  <w:u w:val="single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vAlign w:val="center"/>
          </w:tcPr>
          <w:p w14:paraId="23D6F2D0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082DC825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10 g/l </w:t>
            </w:r>
            <w:proofErr w:type="spellStart"/>
            <w:r w:rsidRPr="004A4D94">
              <w:t>Azadirachtin</w:t>
            </w:r>
            <w:proofErr w:type="spellEnd"/>
            <w:r w:rsidRPr="004A4D94">
              <w:t xml:space="preserve"> A</w:t>
            </w:r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5F63D7DB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145CD10A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300 ml/da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47CC365D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1,0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004E5D70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3 gün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9634862" w14:textId="03C346E5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7B16E5" w:rsidRPr="004A4D94" w14:paraId="333DD396" w14:textId="77777777" w:rsidTr="006B44A4">
        <w:trPr>
          <w:cantSplit/>
          <w:trHeight w:val="140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0FFB489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  <w:u w:val="single"/>
              </w:rPr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14:paraId="2CBDC54F" w14:textId="0A00172E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Biber</w:t>
            </w:r>
            <w:r w:rsidR="00AB57DF" w:rsidRPr="004A4D94">
              <w:t xml:space="preserve"> </w:t>
            </w:r>
            <w:r w:rsidR="00AB57DF" w:rsidRPr="004A4D94">
              <w:rPr>
                <w:b/>
                <w:bCs/>
                <w:i/>
                <w:iCs/>
              </w:rPr>
              <w:t>(Yeşil-</w:t>
            </w:r>
            <w:proofErr w:type="spellStart"/>
            <w:r w:rsidR="00AB57DF" w:rsidRPr="004A4D94">
              <w:rPr>
                <w:b/>
                <w:bCs/>
                <w:i/>
                <w:iCs/>
              </w:rPr>
              <w:t>Kapya</w:t>
            </w:r>
            <w:proofErr w:type="spellEnd"/>
            <w:r w:rsidR="00AB57DF" w:rsidRPr="004A4D94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074743DD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 xml:space="preserve">%35 </w:t>
            </w:r>
            <w:proofErr w:type="spellStart"/>
            <w:r w:rsidRPr="004A4D94">
              <w:t>Chlorantraniliprole</w:t>
            </w:r>
            <w:proofErr w:type="spellEnd"/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40338CB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>WG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A6B6D7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>12 g/da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08C10996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>1,0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0996ACC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>1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A313DD" w14:textId="4DCA67B1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7B16E5" w:rsidRPr="004A4D94" w14:paraId="004E14EA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5EAF436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  <w:u w:val="single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14:paraId="01A7A9D7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82B5800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50 g/l </w:t>
            </w:r>
            <w:proofErr w:type="spellStart"/>
            <w:r w:rsidRPr="004A4D94">
              <w:t>Lambda-cyhalothrin</w:t>
            </w:r>
            <w:proofErr w:type="spellEnd"/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1DBC8FF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CS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BAD189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50 ml /da 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550576B2" w14:textId="70A4D1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0,</w:t>
            </w:r>
            <w:r w:rsidR="00183E71" w:rsidRPr="004A4D94"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DA7634E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7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997C9B" w14:textId="2ADDFE07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7B16E5" w:rsidRPr="004A4D94" w14:paraId="7842E592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E84F6E0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  <w:u w:val="single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14:paraId="5DFFCD1C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396C9C50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10 g/l </w:t>
            </w:r>
            <w:proofErr w:type="spellStart"/>
            <w:r w:rsidRPr="004A4D94">
              <w:t>Azadirachtin</w:t>
            </w:r>
            <w:proofErr w:type="spellEnd"/>
            <w:r w:rsidRPr="004A4D94">
              <w:t xml:space="preserve"> 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6B58D8B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03D73A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300 ml/da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04649BB9" w14:textId="7E04C1C1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1,0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B6BEE8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3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C694AF" w14:textId="0D554654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6B44A4" w:rsidRPr="004A4D94" w14:paraId="460C2498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96E16BD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  <w:u w:val="single"/>
              </w:rPr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14:paraId="4F6B1E83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Fasulye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5B7E56DD" w14:textId="13A35BB9" w:rsidR="007B16E5" w:rsidRPr="004A4D94" w:rsidRDefault="0020250C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50 g/l </w:t>
            </w:r>
            <w:proofErr w:type="spellStart"/>
            <w:r w:rsidRPr="004A4D94">
              <w:t>Lambda-cyhalothrin</w:t>
            </w:r>
            <w:proofErr w:type="spellEnd"/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18D73CDF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1446EFA9" w14:textId="0689E0F4" w:rsidR="007B16E5" w:rsidRPr="004A4D94" w:rsidRDefault="0020250C" w:rsidP="00C50DAA">
            <w:pPr>
              <w:widowControl/>
              <w:autoSpaceDE/>
              <w:autoSpaceDN/>
              <w:spacing w:line="259" w:lineRule="auto"/>
            </w:pPr>
            <w:r>
              <w:t>50</w:t>
            </w:r>
            <w:r w:rsidR="007B16E5" w:rsidRPr="004A4D94">
              <w:t xml:space="preserve"> ml/da 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0064E62A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rPr>
                <w:b/>
              </w:rPr>
              <w:t>MRL dipnot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39DE7C7A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7 gün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75A1609" w14:textId="5DC5BB52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6B44A4" w:rsidRPr="004A4D94" w14:paraId="449C3FAE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AE4C671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  <w:u w:val="single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vAlign w:val="center"/>
          </w:tcPr>
          <w:p w14:paraId="159DB41F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5E13BF49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200 g/l </w:t>
            </w:r>
            <w:proofErr w:type="spellStart"/>
            <w:r w:rsidRPr="004A4D94">
              <w:t>Chlorantraniliprole</w:t>
            </w:r>
            <w:proofErr w:type="spellEnd"/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369E2BF0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SC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6D08568C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17,5 ml/da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73ED3A2F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rPr>
                <w:b/>
              </w:rPr>
              <w:t>MRL dipnot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6EDE0AB1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14 gün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4D1E9D" w14:textId="4F1DB848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6B44A4" w:rsidRPr="004A4D94" w14:paraId="205630C9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943DD76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  <w:rPr>
                <w:b/>
                <w:bCs/>
                <w:u w:val="single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vAlign w:val="center"/>
          </w:tcPr>
          <w:p w14:paraId="7B93DD3E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729B8A82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10 g/l </w:t>
            </w:r>
            <w:proofErr w:type="spellStart"/>
            <w:r w:rsidRPr="004A4D94">
              <w:t>Azadirachtin</w:t>
            </w:r>
            <w:proofErr w:type="spellEnd"/>
            <w:r w:rsidRPr="004A4D94">
              <w:t xml:space="preserve"> A</w:t>
            </w:r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541D8826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0BFCFB71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300 ml/da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0346C52B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rPr>
                <w:b/>
              </w:rPr>
              <w:t>MRL dipnot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4D06AF0E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14 gün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767AEA" w14:textId="4ACFC6D4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7B16E5" w:rsidRPr="004A4D94" w14:paraId="337E9A4C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59A5754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14:paraId="2D14EFDC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Patlıcan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7428332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50 g/l </w:t>
            </w:r>
            <w:proofErr w:type="spellStart"/>
            <w:r w:rsidRPr="004A4D94">
              <w:t>Lambda-cyhalothrin</w:t>
            </w:r>
            <w:proofErr w:type="spellEnd"/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DAFD872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CS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0F91F7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50 ml /da 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065F70A6" w14:textId="56A15CEA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0,</w:t>
            </w:r>
            <w:r w:rsidR="00B62438" w:rsidRPr="004A4D94"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6714176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7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E90557" w14:textId="7575473F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7B16E5" w:rsidRPr="004A4D94" w14:paraId="23E33E4B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AF21839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14:paraId="5498088A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678C7B0F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%35 </w:t>
            </w:r>
            <w:proofErr w:type="spellStart"/>
            <w:r w:rsidRPr="004A4D94">
              <w:t>Chlorantraniliprole</w:t>
            </w:r>
            <w:proofErr w:type="spellEnd"/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359E1FE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WG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3F8431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12 g/da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71BF5178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0,6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3A56A98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1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F728C1" w14:textId="0C77A762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7B16E5" w:rsidRPr="004A4D94" w14:paraId="086E5576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FD99657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14:paraId="3969724E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D52E6FD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 xml:space="preserve">10 g/l </w:t>
            </w:r>
            <w:proofErr w:type="spellStart"/>
            <w:r w:rsidRPr="004A4D94">
              <w:t>Azadirachtin</w:t>
            </w:r>
            <w:proofErr w:type="spellEnd"/>
            <w:r w:rsidRPr="004A4D94">
              <w:t xml:space="preserve"> 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0744AC9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65B073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300 ml/da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502F04CB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1,0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D7B17E" w14:textId="77777777" w:rsidR="007B16E5" w:rsidRPr="004A4D94" w:rsidRDefault="007B16E5" w:rsidP="00C50DAA">
            <w:pPr>
              <w:widowControl/>
              <w:autoSpaceDE/>
              <w:autoSpaceDN/>
              <w:spacing w:line="259" w:lineRule="auto"/>
            </w:pPr>
            <w:r w:rsidRPr="004A4D94">
              <w:t>3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10F22" w14:textId="40DA6571" w:rsidR="007B16E5" w:rsidRPr="004A4D94" w:rsidRDefault="00216D59" w:rsidP="00C50DAA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11214E" w:rsidRPr="004A4D94" w14:paraId="25749F95" w14:textId="77777777" w:rsidTr="00F131CA">
        <w:trPr>
          <w:cantSplit/>
          <w:trHeight w:val="14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BD135A2" w14:textId="77777777" w:rsidR="0011214E" w:rsidRPr="004A4D94" w:rsidRDefault="0011214E" w:rsidP="0011214E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14:paraId="7403504E" w14:textId="77777777" w:rsidR="0011214E" w:rsidRPr="004A4D94" w:rsidRDefault="0011214E" w:rsidP="0011214E">
            <w:pPr>
              <w:widowControl/>
              <w:autoSpaceDE/>
              <w:autoSpaceDN/>
              <w:spacing w:line="259" w:lineRule="auto"/>
            </w:pPr>
            <w:r w:rsidRPr="004A4D94">
              <w:t>Mısır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</w:tcPr>
          <w:p w14:paraId="3E2CB2FA" w14:textId="635579FC" w:rsidR="0011214E" w:rsidRPr="004A4D94" w:rsidRDefault="0020250C" w:rsidP="0011214E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t xml:space="preserve">50 g/l </w:t>
            </w:r>
            <w:proofErr w:type="spellStart"/>
            <w:r w:rsidRPr="004A4D94">
              <w:t>Lambda-cyhalothrin</w:t>
            </w:r>
            <w:proofErr w:type="spellEnd"/>
          </w:p>
        </w:tc>
        <w:tc>
          <w:tcPr>
            <w:tcW w:w="797" w:type="dxa"/>
            <w:shd w:val="clear" w:color="auto" w:fill="D9D9D9" w:themeFill="background1" w:themeFillShade="D9"/>
            <w:noWrap/>
          </w:tcPr>
          <w:p w14:paraId="53DAF75D" w14:textId="3BEA2C51" w:rsidR="0011214E" w:rsidRPr="004A4D94" w:rsidRDefault="0011214E" w:rsidP="0011214E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2F3CDF">
              <w:t>CS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12507CC3" w14:textId="38B47EB9" w:rsidR="0011214E" w:rsidRPr="004A4D94" w:rsidRDefault="0011214E" w:rsidP="0011214E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2F3CDF">
              <w:t>30 ml/</w:t>
            </w:r>
            <w:r w:rsidR="004777B8">
              <w:t>da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</w:tcPr>
          <w:p w14:paraId="34CEED61" w14:textId="44C339CC" w:rsidR="0011214E" w:rsidRPr="004A4D94" w:rsidRDefault="001B3A0B" w:rsidP="0011214E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>
              <w:t>0,02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</w:tcPr>
          <w:p w14:paraId="01755FFC" w14:textId="29A21B5F" w:rsidR="0011214E" w:rsidRPr="004A4D94" w:rsidRDefault="0011214E" w:rsidP="0011214E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2F3CDF">
              <w:t xml:space="preserve">21 gün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EEFED70" w14:textId="64AF4681" w:rsidR="0011214E" w:rsidRPr="004A4D94" w:rsidRDefault="00216D59" w:rsidP="0011214E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11214E" w:rsidRPr="004A4D94" w14:paraId="74FA6E13" w14:textId="77777777" w:rsidTr="000B2872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61AD775" w14:textId="77777777" w:rsidR="0011214E" w:rsidRPr="004A4D94" w:rsidRDefault="0011214E" w:rsidP="0011214E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vAlign w:val="center"/>
          </w:tcPr>
          <w:p w14:paraId="4EC867CD" w14:textId="77777777" w:rsidR="0011214E" w:rsidRPr="004A4D94" w:rsidRDefault="0011214E" w:rsidP="0011214E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D9D9D9" w:themeFill="background1" w:themeFillShade="D9"/>
            <w:noWrap/>
          </w:tcPr>
          <w:p w14:paraId="7942FFD2" w14:textId="6D220838" w:rsidR="0011214E" w:rsidRPr="00436942" w:rsidRDefault="004777B8" w:rsidP="0011214E">
            <w:pPr>
              <w:widowControl/>
              <w:autoSpaceDE/>
              <w:autoSpaceDN/>
              <w:spacing w:line="259" w:lineRule="auto"/>
            </w:pPr>
            <w:r w:rsidRPr="00436942">
              <w:t xml:space="preserve">%10 </w:t>
            </w:r>
            <w:proofErr w:type="spellStart"/>
            <w:r w:rsidRPr="00436942">
              <w:t>Acetamiprid</w:t>
            </w:r>
            <w:proofErr w:type="spellEnd"/>
            <w:r w:rsidRPr="00436942">
              <w:t xml:space="preserve"> + %3 </w:t>
            </w:r>
            <w:proofErr w:type="spellStart"/>
            <w:r w:rsidRPr="00436942">
              <w:t>Lambda-cyhalothrin</w:t>
            </w:r>
            <w:proofErr w:type="spellEnd"/>
          </w:p>
        </w:tc>
        <w:tc>
          <w:tcPr>
            <w:tcW w:w="797" w:type="dxa"/>
            <w:shd w:val="clear" w:color="auto" w:fill="D9D9D9" w:themeFill="background1" w:themeFillShade="D9"/>
            <w:noWrap/>
          </w:tcPr>
          <w:p w14:paraId="1A5D0371" w14:textId="6A885FA0" w:rsidR="0011214E" w:rsidRPr="00436942" w:rsidRDefault="00436942" w:rsidP="0011214E">
            <w:pPr>
              <w:widowControl/>
              <w:autoSpaceDE/>
              <w:autoSpaceDN/>
              <w:spacing w:line="259" w:lineRule="auto"/>
            </w:pPr>
            <w:r w:rsidRPr="00436942">
              <w:t>WG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7D59CC1B" w14:textId="182F580A" w:rsidR="0011214E" w:rsidRPr="00436942" w:rsidRDefault="004777B8" w:rsidP="0011214E">
            <w:pPr>
              <w:widowControl/>
              <w:autoSpaceDE/>
              <w:autoSpaceDN/>
              <w:spacing w:line="259" w:lineRule="auto"/>
            </w:pPr>
            <w:r w:rsidRPr="00436942">
              <w:t>20 g/da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</w:tcPr>
          <w:p w14:paraId="78F821A4" w14:textId="7708BEB5" w:rsidR="0011214E" w:rsidRPr="00436942" w:rsidRDefault="00436942" w:rsidP="0011214E">
            <w:pPr>
              <w:widowControl/>
              <w:autoSpaceDE/>
              <w:autoSpaceDN/>
              <w:spacing w:line="259" w:lineRule="auto"/>
            </w:pPr>
            <w:r w:rsidRPr="00436942">
              <w:t>0,01-0,05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</w:tcPr>
          <w:p w14:paraId="622F77E7" w14:textId="1E5C2B8F" w:rsidR="0011214E" w:rsidRPr="00436942" w:rsidRDefault="00436942" w:rsidP="0011214E">
            <w:pPr>
              <w:widowControl/>
              <w:autoSpaceDE/>
              <w:autoSpaceDN/>
              <w:spacing w:line="259" w:lineRule="auto"/>
            </w:pPr>
            <w:r w:rsidRPr="00436942">
              <w:t>21 gün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17C557" w14:textId="6FE65E49" w:rsidR="0011214E" w:rsidRPr="004A4D94" w:rsidRDefault="00216D59" w:rsidP="0011214E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>
              <w:t>0</w:t>
            </w:r>
            <w:r w:rsidRPr="004A4D94">
              <w:t>5 Haziran – 15 Ekim</w:t>
            </w:r>
          </w:p>
        </w:tc>
      </w:tr>
      <w:tr w:rsidR="00391804" w:rsidRPr="004A4D94" w14:paraId="1D07A8DB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65DB614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vAlign w:val="center"/>
          </w:tcPr>
          <w:p w14:paraId="141EFBC1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03ACD077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 xml:space="preserve">10 g/l </w:t>
            </w:r>
            <w:proofErr w:type="spellStart"/>
            <w:r w:rsidRPr="004A4D94">
              <w:t>Azadirachtin</w:t>
            </w:r>
            <w:proofErr w:type="spellEnd"/>
            <w:r w:rsidRPr="004A4D94">
              <w:t xml:space="preserve"> A</w:t>
            </w:r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17C6254C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279193B3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300 ml/da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16DC119F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1,0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139CC134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21 gün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FACA374" w14:textId="10C67422" w:rsidR="00391804" w:rsidRPr="004A4D94" w:rsidRDefault="00216D59" w:rsidP="00391804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391804" w:rsidRPr="004A4D94" w14:paraId="1AA96A95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9E59C05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14:paraId="089F4A14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Soya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61E9A812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proofErr w:type="spellStart"/>
            <w:r w:rsidRPr="004A4D94">
              <w:t>Malathion</w:t>
            </w:r>
            <w:proofErr w:type="spellEnd"/>
            <w:r w:rsidRPr="004A4D94">
              <w:t xml:space="preserve"> 650 g/l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BE1AD54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C353D7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 xml:space="preserve">170 ml / da 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0F7467A1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0,02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FB83D2A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7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0F5E81" w14:textId="5228D371" w:rsidR="00391804" w:rsidRPr="004A4D94" w:rsidRDefault="00216D59" w:rsidP="00391804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391804" w:rsidRPr="004A4D94" w14:paraId="5D9D8B8A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06AA94C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14:paraId="46EDBA47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90FFE66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 xml:space="preserve">10 g/l </w:t>
            </w:r>
            <w:proofErr w:type="spellStart"/>
            <w:r w:rsidRPr="004A4D94">
              <w:t>Azadirachtin</w:t>
            </w:r>
            <w:proofErr w:type="spellEnd"/>
            <w:r w:rsidRPr="004A4D94">
              <w:t xml:space="preserve"> 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59F6944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964A38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300 ml/da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33AA0B21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0,01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D79C117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3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F1497F" w14:textId="76766D9D" w:rsidR="00391804" w:rsidRPr="004A4D94" w:rsidRDefault="00216D59" w:rsidP="00391804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391804" w:rsidRPr="004A4D94" w14:paraId="49DA978C" w14:textId="77777777" w:rsidTr="006B44A4">
        <w:trPr>
          <w:cantSplit/>
          <w:trHeight w:val="15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FFF1761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14:paraId="7830D3CE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Çeltik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043A7183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 xml:space="preserve">800 g/l </w:t>
            </w:r>
            <w:proofErr w:type="spellStart"/>
            <w:r w:rsidRPr="004A4D94">
              <w:t>Malathion</w:t>
            </w:r>
            <w:proofErr w:type="spellEnd"/>
            <w:r w:rsidRPr="004A4D94">
              <w:t xml:space="preserve"> + 12,8 g/l Gamma-</w:t>
            </w:r>
            <w:proofErr w:type="spellStart"/>
            <w:r w:rsidRPr="004A4D94">
              <w:t>cyhalothrin</w:t>
            </w:r>
            <w:proofErr w:type="spellEnd"/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512162D0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08D8B68F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 xml:space="preserve">25 ml/da 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7CE03C20" w14:textId="2A3D0EF7" w:rsidR="00391804" w:rsidRPr="004A4D94" w:rsidRDefault="0019250E" w:rsidP="00391804">
            <w:pPr>
              <w:widowControl/>
              <w:autoSpaceDE/>
              <w:autoSpaceDN/>
              <w:spacing w:line="259" w:lineRule="auto"/>
            </w:pPr>
            <w:r w:rsidRPr="004A4D94">
              <w:t>8-</w:t>
            </w:r>
            <w:r w:rsidR="00391804" w:rsidRPr="004A4D94">
              <w:t>0,2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416F8FF6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14 gün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F29F6A" w14:textId="26F3B72F" w:rsidR="00391804" w:rsidRPr="004A4D94" w:rsidRDefault="00216D59" w:rsidP="00391804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391804" w:rsidRPr="004A4D94" w14:paraId="350B2449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1F4C161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vAlign w:val="center"/>
          </w:tcPr>
          <w:p w14:paraId="05AB992F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2320459E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 xml:space="preserve">10 g/l </w:t>
            </w:r>
            <w:proofErr w:type="spellStart"/>
            <w:r w:rsidRPr="004A4D94">
              <w:t>Azadirachtin</w:t>
            </w:r>
            <w:proofErr w:type="spellEnd"/>
            <w:r w:rsidRPr="004A4D94">
              <w:t xml:space="preserve"> A</w:t>
            </w:r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281B71F3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3FEF4FEB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300 ml/da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5AD9BFA3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1,0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6E99C52D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14 gün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C2E3DF2" w14:textId="6DF47100" w:rsidR="00391804" w:rsidRPr="004A4D94" w:rsidRDefault="00216D59" w:rsidP="00391804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391804" w:rsidRPr="004A4D94" w14:paraId="6BBA0E39" w14:textId="77777777" w:rsidTr="006B44A4">
        <w:trPr>
          <w:cantSplit/>
          <w:trHeight w:val="22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77BE747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14:paraId="376451B4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Ayçiçeği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E9F4819" w14:textId="63AFFE6C" w:rsidR="00391804" w:rsidRPr="004A4D94" w:rsidRDefault="0020250C" w:rsidP="00391804">
            <w:pPr>
              <w:widowControl/>
              <w:autoSpaceDE/>
              <w:autoSpaceDN/>
              <w:spacing w:line="259" w:lineRule="auto"/>
            </w:pPr>
            <w:r w:rsidRPr="004A4D94">
              <w:t xml:space="preserve">50 g/l </w:t>
            </w:r>
            <w:proofErr w:type="spellStart"/>
            <w:r w:rsidRPr="004A4D94">
              <w:t>Lambda-cyhalothrin</w:t>
            </w:r>
            <w:proofErr w:type="spellEnd"/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F9DBB86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2FF8B8" w14:textId="1253BAA6" w:rsidR="00391804" w:rsidRPr="004A4D94" w:rsidRDefault="0020250C" w:rsidP="00391804">
            <w:pPr>
              <w:widowControl/>
              <w:autoSpaceDE/>
              <w:autoSpaceDN/>
              <w:spacing w:line="259" w:lineRule="auto"/>
            </w:pPr>
            <w:r>
              <w:t>3</w:t>
            </w:r>
            <w:bookmarkStart w:id="1" w:name="_GoBack"/>
            <w:bookmarkEnd w:id="1"/>
            <w:r w:rsidR="00391804" w:rsidRPr="004A4D94">
              <w:t xml:space="preserve">0 ml / da 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68657A0A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0,2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807D19D" w14:textId="542A76EA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14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0130CC" w14:textId="7804D730" w:rsidR="00391804" w:rsidRPr="004A4D94" w:rsidRDefault="00216D59" w:rsidP="00391804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391804" w:rsidRPr="004A4D94" w14:paraId="200E6DED" w14:textId="77777777" w:rsidTr="006B44A4">
        <w:trPr>
          <w:cantSplit/>
          <w:trHeight w:val="134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BC09452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14:paraId="0606F21F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53834B0E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 xml:space="preserve">10 g/l </w:t>
            </w:r>
            <w:proofErr w:type="spellStart"/>
            <w:r w:rsidRPr="004A4D94">
              <w:t>Azadirachtin</w:t>
            </w:r>
            <w:proofErr w:type="spellEnd"/>
            <w:r w:rsidRPr="004A4D94">
              <w:t xml:space="preserve"> 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EE32FF9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B46622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300 ml/ da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4FBEF7CC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0,01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3537F4" w14:textId="0932FD98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21 gün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B08C97" w14:textId="252CC53A" w:rsidR="00391804" w:rsidRPr="004A4D94" w:rsidRDefault="00216D59" w:rsidP="00391804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tr w:rsidR="00391804" w:rsidRPr="004A4D94" w14:paraId="2FD51C8A" w14:textId="77777777" w:rsidTr="006B44A4">
        <w:trPr>
          <w:cantSplit/>
          <w:trHeight w:val="58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49BD43E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14:paraId="492A42BD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Bağ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754F1BEE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rPr>
                <w:color w:val="000000" w:themeColor="text1"/>
              </w:rPr>
              <w:t xml:space="preserve">50 g/l </w:t>
            </w:r>
            <w:proofErr w:type="spellStart"/>
            <w:r w:rsidRPr="004A4D94">
              <w:rPr>
                <w:color w:val="000000" w:themeColor="text1"/>
              </w:rPr>
              <w:t>Lambda-cyhalothrin</w:t>
            </w:r>
            <w:proofErr w:type="spellEnd"/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76EF8067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rPr>
                <w:color w:val="000000" w:themeColor="text1"/>
              </w:rPr>
              <w:t>EC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5D1DF4DD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rPr>
                <w:color w:val="000000" w:themeColor="text1"/>
              </w:rPr>
              <w:t>20 ml/ 100L su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6147AF74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  <w:rPr>
                <w:strike/>
              </w:rPr>
            </w:pPr>
            <w:r w:rsidRPr="004A4D94">
              <w:rPr>
                <w:color w:val="000000" w:themeColor="text1"/>
              </w:rPr>
              <w:t>0,08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1622E7EF" w14:textId="1AFAB222" w:rsidR="00391804" w:rsidRPr="004A4D94" w:rsidRDefault="00391804" w:rsidP="00391804">
            <w:pPr>
              <w:widowControl/>
              <w:autoSpaceDE/>
              <w:autoSpaceDN/>
              <w:spacing w:line="259" w:lineRule="auto"/>
              <w:rPr>
                <w:color w:val="000000" w:themeColor="text1"/>
              </w:rPr>
            </w:pPr>
            <w:r w:rsidRPr="004A4D94">
              <w:rPr>
                <w:color w:val="000000" w:themeColor="text1"/>
              </w:rPr>
              <w:t>Üzüm 7 gün</w:t>
            </w:r>
            <w:r w:rsidR="002D0327" w:rsidRPr="004A4D94">
              <w:rPr>
                <w:color w:val="000000" w:themeColor="text1"/>
              </w:rPr>
              <w:t>***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2879CA" w14:textId="577EDDAC" w:rsidR="00391804" w:rsidRPr="004A4D94" w:rsidRDefault="00216D59" w:rsidP="00391804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="00391804" w:rsidRPr="004A4D94">
              <w:t xml:space="preserve">5 Haziran – </w:t>
            </w:r>
            <w:r w:rsidR="004A4D94" w:rsidRPr="004A4D94">
              <w:t>31 Temmuz**</w:t>
            </w:r>
          </w:p>
        </w:tc>
      </w:tr>
      <w:tr w:rsidR="00391804" w:rsidRPr="00DD0D79" w14:paraId="1BB1D69B" w14:textId="77777777" w:rsidTr="006B44A4">
        <w:trPr>
          <w:cantSplit/>
          <w:trHeight w:val="164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4D9A915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vAlign w:val="center"/>
          </w:tcPr>
          <w:p w14:paraId="6D386EA8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</w:tcPr>
          <w:p w14:paraId="28FA0FAE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 xml:space="preserve">10 g/l </w:t>
            </w:r>
            <w:proofErr w:type="spellStart"/>
            <w:r w:rsidRPr="004A4D94">
              <w:t>Azadirachtin</w:t>
            </w:r>
            <w:proofErr w:type="spellEnd"/>
            <w:r w:rsidRPr="004A4D94">
              <w:t xml:space="preserve"> A</w:t>
            </w:r>
          </w:p>
        </w:tc>
        <w:tc>
          <w:tcPr>
            <w:tcW w:w="797" w:type="dxa"/>
            <w:shd w:val="clear" w:color="auto" w:fill="D9D9D9" w:themeFill="background1" w:themeFillShade="D9"/>
            <w:noWrap/>
            <w:vAlign w:val="center"/>
          </w:tcPr>
          <w:p w14:paraId="1C384860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EC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363D4D43" w14:textId="77777777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300 ml/ su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14:paraId="68C9DAA1" w14:textId="01BE35B5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1,00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22D543C8" w14:textId="707ADA10" w:rsidR="00391804" w:rsidRPr="004A4D94" w:rsidRDefault="00391804" w:rsidP="00391804">
            <w:pPr>
              <w:widowControl/>
              <w:autoSpaceDE/>
              <w:autoSpaceDN/>
              <w:spacing w:line="259" w:lineRule="auto"/>
            </w:pPr>
            <w:r w:rsidRPr="004A4D94">
              <w:t>Üzüm 7 gün</w:t>
            </w:r>
            <w:r w:rsidR="002D0327" w:rsidRPr="004A4D94">
              <w:t>***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A961BB5" w14:textId="740D36A8" w:rsidR="00391804" w:rsidRPr="00DD0D79" w:rsidRDefault="00216D59" w:rsidP="00391804">
            <w:pPr>
              <w:widowControl/>
              <w:autoSpaceDE/>
              <w:autoSpaceDN/>
              <w:spacing w:line="259" w:lineRule="auto"/>
            </w:pPr>
            <w:r>
              <w:t>0</w:t>
            </w:r>
            <w:r w:rsidRPr="004A4D94">
              <w:t>5 Haziran – 15 Ekim</w:t>
            </w:r>
          </w:p>
        </w:tc>
      </w:tr>
      <w:bookmarkEnd w:id="0"/>
    </w:tbl>
    <w:p w14:paraId="07BC4003" w14:textId="77777777" w:rsidR="007B16E5" w:rsidRDefault="007B16E5" w:rsidP="00570802">
      <w:pPr>
        <w:tabs>
          <w:tab w:val="left" w:pos="7860"/>
        </w:tabs>
        <w:rPr>
          <w:sz w:val="24"/>
          <w:szCs w:val="24"/>
        </w:rPr>
      </w:pPr>
    </w:p>
    <w:p w14:paraId="1DB13397" w14:textId="77777777" w:rsidR="00F9362B" w:rsidRDefault="00F9362B" w:rsidP="00570802">
      <w:pPr>
        <w:tabs>
          <w:tab w:val="left" w:pos="7860"/>
        </w:tabs>
        <w:rPr>
          <w:sz w:val="24"/>
          <w:szCs w:val="24"/>
        </w:rPr>
      </w:pPr>
    </w:p>
    <w:p w14:paraId="27315AA1" w14:textId="77777777" w:rsidR="00F9362B" w:rsidRDefault="00F9362B" w:rsidP="00F9362B">
      <w:pPr>
        <w:spacing w:after="23"/>
        <w:ind w:left="35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MRL dipnot</w:t>
      </w:r>
    </w:p>
    <w:tbl>
      <w:tblPr>
        <w:tblW w:w="15309" w:type="dxa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4"/>
        <w:gridCol w:w="3774"/>
        <w:gridCol w:w="3924"/>
        <w:gridCol w:w="4677"/>
      </w:tblGrid>
      <w:tr w:rsidR="00F9362B" w:rsidRPr="003D759A" w14:paraId="3C21B59B" w14:textId="77777777" w:rsidTr="00C50DAA">
        <w:trPr>
          <w:trHeight w:val="302"/>
        </w:trPr>
        <w:tc>
          <w:tcPr>
            <w:tcW w:w="2934" w:type="dxa"/>
          </w:tcPr>
          <w:p w14:paraId="2B6E9267" w14:textId="77777777" w:rsidR="00F9362B" w:rsidRPr="003D759A" w:rsidRDefault="00F9362B" w:rsidP="00C50DAA">
            <w:pPr>
              <w:spacing w:after="23"/>
              <w:ind w:left="383"/>
              <w:rPr>
                <w:b/>
                <w:sz w:val="24"/>
                <w:szCs w:val="24"/>
              </w:rPr>
            </w:pPr>
          </w:p>
        </w:tc>
        <w:tc>
          <w:tcPr>
            <w:tcW w:w="3774" w:type="dxa"/>
          </w:tcPr>
          <w:p w14:paraId="4BF350EF" w14:textId="77777777" w:rsidR="00F9362B" w:rsidRPr="003D759A" w:rsidRDefault="00F9362B" w:rsidP="00C50DAA">
            <w:pPr>
              <w:spacing w:after="23"/>
              <w:rPr>
                <w:b/>
                <w:sz w:val="24"/>
                <w:szCs w:val="24"/>
              </w:rPr>
            </w:pPr>
            <w:r w:rsidRPr="003D759A">
              <w:rPr>
                <w:b/>
                <w:sz w:val="24"/>
                <w:szCs w:val="24"/>
              </w:rPr>
              <w:t>260010-Fasulye (kabuklu)</w:t>
            </w:r>
            <w:r>
              <w:rPr>
                <w:b/>
                <w:sz w:val="24"/>
                <w:szCs w:val="24"/>
              </w:rPr>
              <w:t xml:space="preserve"> MRL</w:t>
            </w:r>
          </w:p>
        </w:tc>
        <w:tc>
          <w:tcPr>
            <w:tcW w:w="3924" w:type="dxa"/>
          </w:tcPr>
          <w:p w14:paraId="5074C0A8" w14:textId="77777777" w:rsidR="00F9362B" w:rsidRPr="003D759A" w:rsidRDefault="00F9362B" w:rsidP="00C50DAA">
            <w:pPr>
              <w:spacing w:after="23"/>
              <w:rPr>
                <w:b/>
                <w:sz w:val="24"/>
                <w:szCs w:val="24"/>
              </w:rPr>
            </w:pPr>
            <w:r w:rsidRPr="003D759A">
              <w:rPr>
                <w:b/>
                <w:sz w:val="24"/>
                <w:szCs w:val="24"/>
              </w:rPr>
              <w:t>260020-Fasulye (kabuksuz)</w:t>
            </w:r>
            <w:r>
              <w:rPr>
                <w:b/>
                <w:sz w:val="24"/>
                <w:szCs w:val="24"/>
              </w:rPr>
              <w:t xml:space="preserve"> MRL</w:t>
            </w:r>
          </w:p>
        </w:tc>
        <w:tc>
          <w:tcPr>
            <w:tcW w:w="4677" w:type="dxa"/>
          </w:tcPr>
          <w:p w14:paraId="2A0FD316" w14:textId="77777777" w:rsidR="00F9362B" w:rsidRPr="003D759A" w:rsidRDefault="00F9362B" w:rsidP="00C50DAA">
            <w:pPr>
              <w:spacing w:after="23"/>
              <w:rPr>
                <w:b/>
                <w:sz w:val="24"/>
                <w:szCs w:val="24"/>
              </w:rPr>
            </w:pPr>
            <w:r w:rsidRPr="003D759A">
              <w:rPr>
                <w:b/>
                <w:sz w:val="24"/>
                <w:szCs w:val="24"/>
              </w:rPr>
              <w:t xml:space="preserve">360010 Fasulye (Kuru tohum) </w:t>
            </w:r>
            <w:r>
              <w:rPr>
                <w:b/>
                <w:sz w:val="24"/>
                <w:szCs w:val="24"/>
              </w:rPr>
              <w:t>MRL</w:t>
            </w:r>
          </w:p>
        </w:tc>
      </w:tr>
      <w:tr w:rsidR="00F9362B" w:rsidRPr="003D759A" w14:paraId="6B4D46F5" w14:textId="77777777" w:rsidTr="00C50DAA">
        <w:trPr>
          <w:trHeight w:val="290"/>
        </w:trPr>
        <w:tc>
          <w:tcPr>
            <w:tcW w:w="2934" w:type="dxa"/>
          </w:tcPr>
          <w:p w14:paraId="7440C124" w14:textId="77777777" w:rsidR="00F9362B" w:rsidRPr="003D759A" w:rsidRDefault="00F9362B" w:rsidP="00C50DAA">
            <w:pPr>
              <w:spacing w:after="23"/>
              <w:ind w:left="359"/>
              <w:rPr>
                <w:b/>
                <w:sz w:val="24"/>
                <w:szCs w:val="24"/>
              </w:rPr>
            </w:pPr>
            <w:proofErr w:type="spellStart"/>
            <w:r w:rsidRPr="003D759A">
              <w:rPr>
                <w:b/>
                <w:sz w:val="24"/>
                <w:szCs w:val="24"/>
              </w:rPr>
              <w:t>Azadirachtin</w:t>
            </w:r>
            <w:proofErr w:type="spellEnd"/>
          </w:p>
        </w:tc>
        <w:tc>
          <w:tcPr>
            <w:tcW w:w="3774" w:type="dxa"/>
          </w:tcPr>
          <w:p w14:paraId="733E6701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  <w:r w:rsidRPr="003D759A">
              <w:rPr>
                <w:sz w:val="24"/>
                <w:szCs w:val="24"/>
              </w:rPr>
              <w:t>1</w:t>
            </w:r>
          </w:p>
        </w:tc>
        <w:tc>
          <w:tcPr>
            <w:tcW w:w="3924" w:type="dxa"/>
          </w:tcPr>
          <w:p w14:paraId="3C0284FA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  <w:r w:rsidRPr="003D759A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47B44F26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  <w:r w:rsidRPr="003D759A">
              <w:rPr>
                <w:sz w:val="24"/>
                <w:szCs w:val="24"/>
              </w:rPr>
              <w:t>0,01*</w:t>
            </w:r>
          </w:p>
        </w:tc>
      </w:tr>
      <w:tr w:rsidR="00F9362B" w:rsidRPr="003D759A" w14:paraId="4EA97293" w14:textId="77777777" w:rsidTr="00C50DAA">
        <w:trPr>
          <w:trHeight w:val="302"/>
        </w:trPr>
        <w:tc>
          <w:tcPr>
            <w:tcW w:w="2934" w:type="dxa"/>
          </w:tcPr>
          <w:p w14:paraId="0EA82343" w14:textId="77777777" w:rsidR="00F9362B" w:rsidRPr="003D759A" w:rsidRDefault="00F9362B" w:rsidP="00C50DAA">
            <w:pPr>
              <w:spacing w:after="23"/>
              <w:ind w:left="359"/>
              <w:rPr>
                <w:b/>
                <w:sz w:val="24"/>
                <w:szCs w:val="24"/>
              </w:rPr>
            </w:pPr>
            <w:proofErr w:type="spellStart"/>
            <w:r w:rsidRPr="003D759A">
              <w:rPr>
                <w:b/>
                <w:sz w:val="24"/>
                <w:szCs w:val="24"/>
              </w:rPr>
              <w:t>Chlorantraniliprole</w:t>
            </w:r>
            <w:proofErr w:type="spellEnd"/>
          </w:p>
        </w:tc>
        <w:tc>
          <w:tcPr>
            <w:tcW w:w="3774" w:type="dxa"/>
          </w:tcPr>
          <w:p w14:paraId="635D775C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  <w:r w:rsidRPr="003D759A">
              <w:rPr>
                <w:sz w:val="24"/>
                <w:szCs w:val="24"/>
              </w:rPr>
              <w:t>0,8</w:t>
            </w:r>
          </w:p>
        </w:tc>
        <w:tc>
          <w:tcPr>
            <w:tcW w:w="3924" w:type="dxa"/>
          </w:tcPr>
          <w:p w14:paraId="13B90334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  <w:r w:rsidRPr="003D759A">
              <w:rPr>
                <w:sz w:val="24"/>
                <w:szCs w:val="24"/>
              </w:rPr>
              <w:t>0,01*</w:t>
            </w:r>
          </w:p>
        </w:tc>
        <w:tc>
          <w:tcPr>
            <w:tcW w:w="4677" w:type="dxa"/>
          </w:tcPr>
          <w:p w14:paraId="3BBCA241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  <w:r w:rsidRPr="003D759A">
              <w:rPr>
                <w:sz w:val="24"/>
                <w:szCs w:val="24"/>
              </w:rPr>
              <w:t>0,3</w:t>
            </w:r>
          </w:p>
        </w:tc>
      </w:tr>
      <w:tr w:rsidR="00F9362B" w:rsidRPr="003D759A" w14:paraId="6E6118FD" w14:textId="77777777" w:rsidTr="00C50DAA">
        <w:trPr>
          <w:trHeight w:val="302"/>
        </w:trPr>
        <w:tc>
          <w:tcPr>
            <w:tcW w:w="2934" w:type="dxa"/>
          </w:tcPr>
          <w:p w14:paraId="559D5EDF" w14:textId="77777777" w:rsidR="00F9362B" w:rsidRPr="003D759A" w:rsidRDefault="00F9362B" w:rsidP="00C50DAA">
            <w:pPr>
              <w:spacing w:after="23"/>
              <w:ind w:left="383"/>
              <w:rPr>
                <w:b/>
                <w:sz w:val="24"/>
                <w:szCs w:val="24"/>
              </w:rPr>
            </w:pPr>
            <w:proofErr w:type="spellStart"/>
            <w:r w:rsidRPr="003D759A">
              <w:rPr>
                <w:b/>
                <w:sz w:val="24"/>
                <w:szCs w:val="24"/>
              </w:rPr>
              <w:t>Lambda</w:t>
            </w:r>
            <w:proofErr w:type="spellEnd"/>
            <w:r w:rsidRPr="003D759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</w:t>
            </w:r>
            <w:r w:rsidRPr="003D759A">
              <w:rPr>
                <w:b/>
                <w:sz w:val="24"/>
                <w:szCs w:val="24"/>
              </w:rPr>
              <w:t>yhalothrin</w:t>
            </w:r>
            <w:proofErr w:type="spellEnd"/>
          </w:p>
        </w:tc>
        <w:tc>
          <w:tcPr>
            <w:tcW w:w="3774" w:type="dxa"/>
          </w:tcPr>
          <w:p w14:paraId="114D7951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  <w:r w:rsidRPr="003D759A">
              <w:rPr>
                <w:sz w:val="24"/>
                <w:szCs w:val="24"/>
              </w:rPr>
              <w:t>0,4</w:t>
            </w:r>
          </w:p>
        </w:tc>
        <w:tc>
          <w:tcPr>
            <w:tcW w:w="3924" w:type="dxa"/>
          </w:tcPr>
          <w:p w14:paraId="6433C5E8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  <w:r w:rsidRPr="003D759A">
              <w:rPr>
                <w:sz w:val="24"/>
                <w:szCs w:val="24"/>
              </w:rPr>
              <w:t>0,2</w:t>
            </w:r>
          </w:p>
        </w:tc>
        <w:tc>
          <w:tcPr>
            <w:tcW w:w="4677" w:type="dxa"/>
          </w:tcPr>
          <w:p w14:paraId="313C38F0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  <w:r w:rsidRPr="003D759A">
              <w:rPr>
                <w:sz w:val="24"/>
                <w:szCs w:val="24"/>
              </w:rPr>
              <w:t>0,05</w:t>
            </w:r>
          </w:p>
        </w:tc>
      </w:tr>
      <w:tr w:rsidR="00F9362B" w:rsidRPr="003D759A" w14:paraId="61BB975B" w14:textId="77777777" w:rsidTr="00C50DAA">
        <w:trPr>
          <w:trHeight w:val="302"/>
        </w:trPr>
        <w:tc>
          <w:tcPr>
            <w:tcW w:w="15309" w:type="dxa"/>
            <w:gridSpan w:val="4"/>
          </w:tcPr>
          <w:p w14:paraId="1E089EE5" w14:textId="77777777" w:rsidR="00F9362B" w:rsidRDefault="00F9362B" w:rsidP="00C50DAA">
            <w:pPr>
              <w:tabs>
                <w:tab w:val="left" w:pos="993"/>
              </w:tabs>
              <w:ind w:left="993"/>
              <w:rPr>
                <w:sz w:val="24"/>
                <w:szCs w:val="24"/>
              </w:rPr>
            </w:pPr>
            <w:r w:rsidRPr="003C41E3">
              <w:rPr>
                <w:sz w:val="24"/>
                <w:szCs w:val="24"/>
              </w:rPr>
              <w:t xml:space="preserve">Fasulye (taze kabuklu, kabuksuz ve kuru tohum) için ayrı ürün kodları ve MRL değerleri mevcuttur. Aşağıda detaylı olarak verilen </w:t>
            </w:r>
            <w:r>
              <w:rPr>
                <w:sz w:val="24"/>
                <w:szCs w:val="24"/>
              </w:rPr>
              <w:t xml:space="preserve">MRL </w:t>
            </w:r>
            <w:r w:rsidRPr="003C41E3">
              <w:rPr>
                <w:sz w:val="24"/>
                <w:szCs w:val="24"/>
              </w:rPr>
              <w:t>çizelge</w:t>
            </w:r>
            <w:r>
              <w:rPr>
                <w:sz w:val="24"/>
                <w:szCs w:val="24"/>
              </w:rPr>
              <w:t>sine</w:t>
            </w:r>
            <w:r w:rsidRPr="003C41E3">
              <w:rPr>
                <w:sz w:val="24"/>
                <w:szCs w:val="24"/>
              </w:rPr>
              <w:t xml:space="preserve"> göre</w:t>
            </w:r>
            <w:r>
              <w:rPr>
                <w:sz w:val="24"/>
                <w:szCs w:val="24"/>
              </w:rPr>
              <w:t>;</w:t>
            </w:r>
            <w:r w:rsidRPr="003C41E3">
              <w:rPr>
                <w:sz w:val="24"/>
                <w:szCs w:val="24"/>
              </w:rPr>
              <w:t xml:space="preserve"> </w:t>
            </w:r>
          </w:p>
          <w:p w14:paraId="4BC469C5" w14:textId="77777777" w:rsidR="00F9362B" w:rsidRPr="003C41E3" w:rsidRDefault="00F9362B" w:rsidP="00C50DAA">
            <w:pPr>
              <w:tabs>
                <w:tab w:val="left" w:pos="993"/>
              </w:tabs>
              <w:ind w:left="993"/>
              <w:rPr>
                <w:sz w:val="24"/>
                <w:szCs w:val="24"/>
              </w:rPr>
            </w:pPr>
          </w:p>
          <w:p w14:paraId="491A7558" w14:textId="77777777" w:rsidR="00F9362B" w:rsidRDefault="00F9362B" w:rsidP="00C50DAA">
            <w:pPr>
              <w:tabs>
                <w:tab w:val="left" w:pos="993"/>
              </w:tabs>
              <w:ind w:left="993"/>
              <w:rPr>
                <w:sz w:val="24"/>
                <w:szCs w:val="24"/>
              </w:rPr>
            </w:pPr>
            <w:r w:rsidRPr="003C41E3">
              <w:rPr>
                <w:sz w:val="24"/>
                <w:szCs w:val="24"/>
              </w:rPr>
              <w:t xml:space="preserve">-Yeşil aksamda </w:t>
            </w:r>
            <w:proofErr w:type="spellStart"/>
            <w:r w:rsidRPr="003C41E3">
              <w:rPr>
                <w:sz w:val="24"/>
                <w:szCs w:val="24"/>
              </w:rPr>
              <w:t>Azadirachtin</w:t>
            </w:r>
            <w:proofErr w:type="spellEnd"/>
            <w:r w:rsidRPr="003C41E3">
              <w:rPr>
                <w:sz w:val="24"/>
                <w:szCs w:val="24"/>
              </w:rPr>
              <w:t xml:space="preserve"> kullanıldığında kuru tohumda kalıntı bırakma ihtimali mevcuttur. Bu nedenle kuru tohum üretimi için kullanılacak alanlarda hasada yakın dönemde kullanımı tavsiye edilmemelidir. </w:t>
            </w:r>
          </w:p>
          <w:p w14:paraId="17149573" w14:textId="77777777" w:rsidR="00F9362B" w:rsidRPr="003C41E3" w:rsidRDefault="00F9362B" w:rsidP="00C50DAA">
            <w:pPr>
              <w:tabs>
                <w:tab w:val="left" w:pos="993"/>
              </w:tabs>
              <w:ind w:left="993"/>
              <w:rPr>
                <w:sz w:val="24"/>
                <w:szCs w:val="24"/>
              </w:rPr>
            </w:pPr>
          </w:p>
          <w:p w14:paraId="0BB62683" w14:textId="77777777" w:rsidR="00F9362B" w:rsidRDefault="00F9362B" w:rsidP="00C50DAA">
            <w:pPr>
              <w:tabs>
                <w:tab w:val="left" w:pos="993"/>
              </w:tabs>
              <w:ind w:left="993"/>
              <w:rPr>
                <w:sz w:val="24"/>
                <w:szCs w:val="24"/>
              </w:rPr>
            </w:pPr>
            <w:r w:rsidRPr="003C41E3">
              <w:rPr>
                <w:sz w:val="24"/>
                <w:szCs w:val="24"/>
              </w:rPr>
              <w:t>-</w:t>
            </w:r>
            <w:proofErr w:type="spellStart"/>
            <w:r w:rsidRPr="003C41E3">
              <w:rPr>
                <w:sz w:val="24"/>
                <w:szCs w:val="24"/>
              </w:rPr>
              <w:t>Chlorantraniliprole</w:t>
            </w:r>
            <w:proofErr w:type="spellEnd"/>
            <w:r w:rsidRPr="003C41E3">
              <w:rPr>
                <w:sz w:val="24"/>
                <w:szCs w:val="24"/>
              </w:rPr>
              <w:t xml:space="preserve">, kabuklu fasulyede 0,8 mg/kg MRL değerine sahipken, kabuksuz taze tanede MRL değeri 0,01* mg/kg tespit limitidir. Hasada yakın tarihlerde bu aktif maddenin kullanımının önerilmesi uygun değildir. </w:t>
            </w:r>
          </w:p>
          <w:p w14:paraId="65F018E0" w14:textId="77777777" w:rsidR="00F9362B" w:rsidRPr="003C41E3" w:rsidRDefault="00F9362B" w:rsidP="00C50DAA">
            <w:pPr>
              <w:tabs>
                <w:tab w:val="left" w:pos="993"/>
              </w:tabs>
              <w:ind w:left="993"/>
              <w:rPr>
                <w:sz w:val="24"/>
                <w:szCs w:val="24"/>
              </w:rPr>
            </w:pPr>
          </w:p>
          <w:p w14:paraId="46F72670" w14:textId="77777777" w:rsidR="00F9362B" w:rsidRDefault="00F9362B" w:rsidP="00C50DAA">
            <w:pPr>
              <w:tabs>
                <w:tab w:val="left" w:pos="993"/>
              </w:tabs>
              <w:ind w:left="993"/>
              <w:rPr>
                <w:sz w:val="24"/>
                <w:szCs w:val="24"/>
              </w:rPr>
            </w:pPr>
            <w:r w:rsidRPr="003C41E3">
              <w:rPr>
                <w:sz w:val="24"/>
                <w:szCs w:val="24"/>
              </w:rPr>
              <w:t xml:space="preserve">-Gamma </w:t>
            </w:r>
            <w:proofErr w:type="spellStart"/>
            <w:r w:rsidRPr="003C41E3">
              <w:rPr>
                <w:sz w:val="24"/>
                <w:szCs w:val="24"/>
              </w:rPr>
              <w:t>cyhalothrin</w:t>
            </w:r>
            <w:proofErr w:type="spellEnd"/>
            <w:r w:rsidRPr="003C41E3">
              <w:rPr>
                <w:sz w:val="24"/>
                <w:szCs w:val="24"/>
              </w:rPr>
              <w:t xml:space="preserve"> aktif maddesinin kalıntı tanımı </w:t>
            </w:r>
            <w:proofErr w:type="spellStart"/>
            <w:r w:rsidRPr="003C41E3">
              <w:rPr>
                <w:sz w:val="24"/>
                <w:szCs w:val="24"/>
              </w:rPr>
              <w:t>lambda-cyhalothrin</w:t>
            </w:r>
            <w:proofErr w:type="spellEnd"/>
            <w:r w:rsidRPr="003C41E3">
              <w:rPr>
                <w:sz w:val="24"/>
                <w:szCs w:val="24"/>
              </w:rPr>
              <w:t xml:space="preserve"> olduğundan, bu aktifin limitlerine bakılır.</w:t>
            </w:r>
          </w:p>
          <w:p w14:paraId="128A6118" w14:textId="77777777" w:rsidR="00F9362B" w:rsidRPr="003D759A" w:rsidRDefault="00F9362B" w:rsidP="00C50DAA">
            <w:pPr>
              <w:spacing w:after="23"/>
              <w:rPr>
                <w:sz w:val="24"/>
                <w:szCs w:val="24"/>
              </w:rPr>
            </w:pPr>
          </w:p>
        </w:tc>
      </w:tr>
    </w:tbl>
    <w:p w14:paraId="74AA5C64" w14:textId="77777777" w:rsidR="00F9362B" w:rsidRDefault="00F9362B" w:rsidP="00F9362B"/>
    <w:p w14:paraId="46A75C78" w14:textId="77777777" w:rsidR="00F9362B" w:rsidRDefault="00F9362B" w:rsidP="00F9362B"/>
    <w:p w14:paraId="1D93300D" w14:textId="77777777" w:rsidR="00F9362B" w:rsidRPr="003C41E3" w:rsidRDefault="00F9362B" w:rsidP="00F9362B">
      <w:pPr>
        <w:tabs>
          <w:tab w:val="left" w:pos="993"/>
        </w:tabs>
        <w:ind w:left="993"/>
        <w:rPr>
          <w:b/>
          <w:bCs/>
          <w:sz w:val="24"/>
          <w:szCs w:val="24"/>
        </w:rPr>
      </w:pPr>
      <w:r w:rsidRPr="003C41E3">
        <w:rPr>
          <w:b/>
          <w:bCs/>
          <w:sz w:val="24"/>
          <w:szCs w:val="24"/>
        </w:rPr>
        <w:tab/>
        <w:t>Dipnot:</w:t>
      </w:r>
    </w:p>
    <w:p w14:paraId="32A72F00" w14:textId="77777777" w:rsidR="00F9362B" w:rsidRPr="003C41E3" w:rsidRDefault="00F9362B" w:rsidP="00F9362B">
      <w:pPr>
        <w:tabs>
          <w:tab w:val="left" w:pos="993"/>
        </w:tabs>
        <w:ind w:left="993"/>
        <w:rPr>
          <w:sz w:val="24"/>
          <w:szCs w:val="24"/>
        </w:rPr>
      </w:pPr>
      <w:r>
        <w:rPr>
          <w:sz w:val="24"/>
          <w:szCs w:val="24"/>
        </w:rPr>
        <w:t>*</w:t>
      </w:r>
      <w:r w:rsidRPr="003C41E3">
        <w:rPr>
          <w:sz w:val="24"/>
          <w:szCs w:val="24"/>
        </w:rPr>
        <w:t xml:space="preserve">Tüm ürünlerde önerilen </w:t>
      </w:r>
      <w:proofErr w:type="spellStart"/>
      <w:r>
        <w:rPr>
          <w:sz w:val="24"/>
          <w:szCs w:val="24"/>
        </w:rPr>
        <w:t>BKÜ’lerin</w:t>
      </w:r>
      <w:proofErr w:type="spellEnd"/>
      <w:r w:rsidRPr="003C41E3">
        <w:rPr>
          <w:sz w:val="24"/>
          <w:szCs w:val="24"/>
        </w:rPr>
        <w:t xml:space="preserve"> ilgili tarımsal üründe ardışık olarak kullanılmamasına dikkat edilmesi önemlidir. </w:t>
      </w:r>
    </w:p>
    <w:p w14:paraId="52C2E964" w14:textId="77777777" w:rsidR="00F9362B" w:rsidRPr="003C41E3" w:rsidRDefault="00F9362B" w:rsidP="00F9362B">
      <w:pPr>
        <w:tabs>
          <w:tab w:val="left" w:pos="993"/>
        </w:tabs>
        <w:rPr>
          <w:sz w:val="24"/>
          <w:szCs w:val="24"/>
        </w:rPr>
      </w:pPr>
    </w:p>
    <w:p w14:paraId="1A808BBB" w14:textId="77777777" w:rsidR="00F9362B" w:rsidRDefault="00F9362B" w:rsidP="00F9362B">
      <w:pPr>
        <w:tabs>
          <w:tab w:val="left" w:pos="993"/>
        </w:tabs>
        <w:ind w:left="993"/>
        <w:rPr>
          <w:sz w:val="24"/>
          <w:szCs w:val="24"/>
        </w:rPr>
      </w:pPr>
    </w:p>
    <w:p w14:paraId="5F143797" w14:textId="340C95D8" w:rsidR="00F9362B" w:rsidRDefault="00F9362B" w:rsidP="00F9362B">
      <w:pPr>
        <w:tabs>
          <w:tab w:val="left" w:pos="993"/>
        </w:tabs>
        <w:ind w:left="993"/>
        <w:rPr>
          <w:sz w:val="24"/>
          <w:szCs w:val="24"/>
        </w:rPr>
      </w:pPr>
      <w:r w:rsidRPr="00DD1A04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>*</w:t>
      </w:r>
      <w:r w:rsidRPr="00DD1A04">
        <w:rPr>
          <w:sz w:val="24"/>
          <w:szCs w:val="24"/>
        </w:rPr>
        <w:t xml:space="preserve">Salkım güvesi 2. ve 3. nesil ilaçlamaları ile </w:t>
      </w:r>
      <w:proofErr w:type="gramStart"/>
      <w:r w:rsidRPr="00DD1A04">
        <w:rPr>
          <w:sz w:val="24"/>
          <w:szCs w:val="24"/>
        </w:rPr>
        <w:t>entegre</w:t>
      </w:r>
      <w:proofErr w:type="gramEnd"/>
      <w:r w:rsidRPr="00DD1A04">
        <w:rPr>
          <w:sz w:val="24"/>
          <w:szCs w:val="24"/>
        </w:rPr>
        <w:t xml:space="preserve"> edilerek uygulanabilir.</w:t>
      </w:r>
      <w:r>
        <w:rPr>
          <w:sz w:val="24"/>
          <w:szCs w:val="24"/>
        </w:rPr>
        <w:t xml:space="preserve"> </w:t>
      </w:r>
      <w:r w:rsidRPr="00DD1A04">
        <w:rPr>
          <w:sz w:val="24"/>
          <w:szCs w:val="24"/>
        </w:rPr>
        <w:t>Üzümün önemli bir ihracat ürünü olması ve kalıntı problemi yaşanmaması için bağ alanlarında verilecek geçici tavsiye süresi 15 Haziran – 31 Temmuz aralığında tutulmuştur.</w:t>
      </w:r>
    </w:p>
    <w:p w14:paraId="61DD4706" w14:textId="00FA9CEE" w:rsidR="002D0327" w:rsidRDefault="002D0327" w:rsidP="00F9362B">
      <w:pPr>
        <w:tabs>
          <w:tab w:val="left" w:pos="993"/>
        </w:tabs>
        <w:ind w:left="993"/>
        <w:rPr>
          <w:sz w:val="24"/>
          <w:szCs w:val="24"/>
        </w:rPr>
      </w:pPr>
    </w:p>
    <w:p w14:paraId="29631195" w14:textId="14696537" w:rsidR="002D0327" w:rsidRDefault="002D0327" w:rsidP="00F9362B">
      <w:pPr>
        <w:tabs>
          <w:tab w:val="left" w:pos="993"/>
        </w:tabs>
        <w:ind w:left="993"/>
        <w:rPr>
          <w:sz w:val="24"/>
          <w:szCs w:val="24"/>
        </w:rPr>
      </w:pPr>
      <w:r>
        <w:rPr>
          <w:sz w:val="24"/>
          <w:szCs w:val="24"/>
        </w:rPr>
        <w:t>***</w:t>
      </w:r>
      <w:r w:rsidR="004A4D94" w:rsidRPr="004A4D94">
        <w:t xml:space="preserve"> </w:t>
      </w:r>
      <w:r w:rsidR="004A4D94" w:rsidRPr="004A4D94">
        <w:rPr>
          <w:sz w:val="24"/>
          <w:szCs w:val="24"/>
        </w:rPr>
        <w:t>Tüketim amaçlı bağ yaprağı hasadı yapılacak bağ alanlarında kullanılamaz.</w:t>
      </w:r>
    </w:p>
    <w:p w14:paraId="5A80DE3A" w14:textId="77777777" w:rsidR="00461F1B" w:rsidRPr="00461F1B" w:rsidRDefault="00461F1B" w:rsidP="00461F1B">
      <w:pPr>
        <w:rPr>
          <w:sz w:val="24"/>
          <w:szCs w:val="24"/>
        </w:rPr>
      </w:pPr>
    </w:p>
    <w:p w14:paraId="2D85A50E" w14:textId="4A2E3040" w:rsidR="00461F1B" w:rsidRPr="00461F1B" w:rsidRDefault="00461F1B" w:rsidP="00B90228">
      <w:pPr>
        <w:tabs>
          <w:tab w:val="left" w:pos="1332"/>
        </w:tabs>
        <w:rPr>
          <w:sz w:val="24"/>
          <w:szCs w:val="24"/>
        </w:rPr>
        <w:sectPr w:rsidR="00461F1B" w:rsidRPr="00461F1B" w:rsidSect="00874D54">
          <w:headerReference w:type="default" r:id="rId8"/>
          <w:pgSz w:w="16850" w:h="11920" w:orient="landscape"/>
          <w:pgMar w:top="284" w:right="1820" w:bottom="1843" w:left="284" w:header="714" w:footer="0" w:gutter="0"/>
          <w:cols w:space="708"/>
          <w:docGrid w:linePitch="299"/>
        </w:sectPr>
      </w:pPr>
    </w:p>
    <w:p w14:paraId="4623F502" w14:textId="1801E64E" w:rsidR="00E97F42" w:rsidRDefault="001368CD" w:rsidP="00BE2811">
      <w:pPr>
        <w:ind w:left="567" w:firstLine="496"/>
        <w:jc w:val="both"/>
        <w:rPr>
          <w:sz w:val="24"/>
          <w:szCs w:val="24"/>
        </w:rPr>
      </w:pPr>
      <w:r w:rsidRPr="0061064E">
        <w:rPr>
          <w:sz w:val="24"/>
          <w:szCs w:val="24"/>
        </w:rPr>
        <w:lastRenderedPageBreak/>
        <w:t xml:space="preserve">Kahverengi kokarcanın </w:t>
      </w:r>
      <w:r w:rsidR="00E97F42" w:rsidRPr="0061064E">
        <w:rPr>
          <w:sz w:val="24"/>
          <w:szCs w:val="24"/>
        </w:rPr>
        <w:t>kışlaklardan çıktığı dönem ile kışlaklara toplandığı dönem</w:t>
      </w:r>
      <w:r w:rsidRPr="0061064E">
        <w:rPr>
          <w:sz w:val="24"/>
          <w:szCs w:val="24"/>
        </w:rPr>
        <w:t xml:space="preserve"> arasında</w:t>
      </w:r>
      <w:r w:rsidR="00E97F42" w:rsidRPr="0061064E">
        <w:rPr>
          <w:sz w:val="24"/>
          <w:szCs w:val="24"/>
        </w:rPr>
        <w:t xml:space="preserve"> (</w:t>
      </w:r>
      <w:r w:rsidR="00C4569A" w:rsidRPr="0061064E">
        <w:rPr>
          <w:sz w:val="24"/>
          <w:szCs w:val="24"/>
        </w:rPr>
        <w:t>ağustos</w:t>
      </w:r>
      <w:r w:rsidR="00E97F42" w:rsidRPr="0061064E">
        <w:rPr>
          <w:sz w:val="24"/>
          <w:szCs w:val="24"/>
        </w:rPr>
        <w:t xml:space="preserve"> ayı başı- </w:t>
      </w:r>
      <w:r w:rsidR="00C4569A" w:rsidRPr="0061064E">
        <w:rPr>
          <w:sz w:val="24"/>
          <w:szCs w:val="24"/>
        </w:rPr>
        <w:t>kasım</w:t>
      </w:r>
      <w:r w:rsidR="00E97F42" w:rsidRPr="0061064E">
        <w:rPr>
          <w:sz w:val="24"/>
          <w:szCs w:val="24"/>
        </w:rPr>
        <w:t xml:space="preserve"> ayı sonu) </w:t>
      </w:r>
      <w:r w:rsidR="00C91955" w:rsidRPr="0061064E">
        <w:rPr>
          <w:sz w:val="24"/>
          <w:szCs w:val="24"/>
        </w:rPr>
        <w:t xml:space="preserve">konukçu bitkilerde </w:t>
      </w:r>
      <w:r w:rsidR="00E97F42" w:rsidRPr="0061064E">
        <w:rPr>
          <w:sz w:val="24"/>
          <w:szCs w:val="24"/>
        </w:rPr>
        <w:t>mücadeley</w:t>
      </w:r>
      <w:r w:rsidR="00C4569A" w:rsidRPr="0061064E">
        <w:rPr>
          <w:sz w:val="24"/>
          <w:szCs w:val="24"/>
        </w:rPr>
        <w:t xml:space="preserve">e yönelik gözlemler yapılmalı ve </w:t>
      </w:r>
      <w:r w:rsidR="00C91955" w:rsidRPr="0061064E">
        <w:rPr>
          <w:sz w:val="24"/>
          <w:szCs w:val="24"/>
        </w:rPr>
        <w:t xml:space="preserve">gerektiğinde </w:t>
      </w:r>
      <w:proofErr w:type="spellStart"/>
      <w:r w:rsidR="00C91955" w:rsidRPr="0061064E">
        <w:rPr>
          <w:sz w:val="24"/>
          <w:szCs w:val="24"/>
        </w:rPr>
        <w:t>insektisit</w:t>
      </w:r>
      <w:proofErr w:type="spellEnd"/>
      <w:r w:rsidR="00C4569A" w:rsidRPr="0061064E">
        <w:rPr>
          <w:sz w:val="24"/>
          <w:szCs w:val="24"/>
        </w:rPr>
        <w:t xml:space="preserve"> kullanılmasına karar verilmelidir.</w:t>
      </w:r>
      <w:r w:rsidR="00E97F42" w:rsidRPr="0061064E">
        <w:rPr>
          <w:sz w:val="24"/>
          <w:szCs w:val="24"/>
        </w:rPr>
        <w:t xml:space="preserve"> </w:t>
      </w:r>
      <w:r w:rsidR="00C91955" w:rsidRPr="0061064E">
        <w:rPr>
          <w:sz w:val="24"/>
          <w:szCs w:val="24"/>
        </w:rPr>
        <w:t>Mayıs</w:t>
      </w:r>
      <w:r w:rsidR="00E97F42" w:rsidRPr="0061064E">
        <w:rPr>
          <w:sz w:val="24"/>
          <w:szCs w:val="24"/>
        </w:rPr>
        <w:t xml:space="preserve"> ayında kışlaklardan çıkış hızlan</w:t>
      </w:r>
      <w:r w:rsidR="00C91955" w:rsidRPr="0061064E">
        <w:rPr>
          <w:sz w:val="24"/>
          <w:szCs w:val="24"/>
        </w:rPr>
        <w:t>makta,</w:t>
      </w:r>
      <w:r w:rsidR="00E97F42" w:rsidRPr="0061064E">
        <w:rPr>
          <w:sz w:val="24"/>
          <w:szCs w:val="24"/>
        </w:rPr>
        <w:t xml:space="preserve"> mayıs ayının ortasından sonra</w:t>
      </w:r>
      <w:r w:rsidR="00C91955" w:rsidRPr="0061064E">
        <w:rPr>
          <w:sz w:val="24"/>
          <w:szCs w:val="24"/>
        </w:rPr>
        <w:t xml:space="preserve"> ise </w:t>
      </w:r>
      <w:r w:rsidR="00E97F42" w:rsidRPr="0061064E">
        <w:rPr>
          <w:sz w:val="24"/>
          <w:szCs w:val="24"/>
        </w:rPr>
        <w:t xml:space="preserve">riskli dönem başlamaktadır. Özellikle yumurta bırakmanın zirve yaptığı temmuz ayının ortasından sonra konukçu bitkilerdeki </w:t>
      </w:r>
      <w:proofErr w:type="spellStart"/>
      <w:r w:rsidR="00E97F42" w:rsidRPr="0061064E">
        <w:rPr>
          <w:sz w:val="24"/>
          <w:szCs w:val="24"/>
        </w:rPr>
        <w:t>populasyon</w:t>
      </w:r>
      <w:proofErr w:type="spellEnd"/>
      <w:r w:rsidR="00E97F42" w:rsidRPr="0061064E">
        <w:rPr>
          <w:sz w:val="24"/>
          <w:szCs w:val="24"/>
        </w:rPr>
        <w:t xml:space="preserve"> artışı öncesinde koruyucu kimyasal uygulamalar yapılmalıdır. Kahverengi</w:t>
      </w:r>
      <w:r w:rsidR="00E97F42" w:rsidRPr="0061064E">
        <w:rPr>
          <w:spacing w:val="-15"/>
          <w:sz w:val="24"/>
          <w:szCs w:val="24"/>
        </w:rPr>
        <w:t xml:space="preserve"> </w:t>
      </w:r>
      <w:r w:rsidR="00E97F42" w:rsidRPr="0061064E">
        <w:rPr>
          <w:sz w:val="24"/>
          <w:szCs w:val="24"/>
        </w:rPr>
        <w:t>kokarca</w:t>
      </w:r>
      <w:r w:rsidR="00E97F42" w:rsidRPr="0061064E">
        <w:rPr>
          <w:spacing w:val="-13"/>
          <w:sz w:val="24"/>
          <w:szCs w:val="24"/>
        </w:rPr>
        <w:t xml:space="preserve"> </w:t>
      </w:r>
      <w:proofErr w:type="gramStart"/>
      <w:r w:rsidR="00E97F42" w:rsidRPr="0061064E">
        <w:rPr>
          <w:sz w:val="24"/>
          <w:szCs w:val="24"/>
        </w:rPr>
        <w:t>popülasyonu</w:t>
      </w:r>
      <w:proofErr w:type="gramEnd"/>
      <w:r w:rsidR="00E97F42" w:rsidRPr="0061064E">
        <w:rPr>
          <w:sz w:val="24"/>
          <w:szCs w:val="24"/>
        </w:rPr>
        <w:t>/varlığı,</w:t>
      </w:r>
      <w:r w:rsidR="00E97F42" w:rsidRPr="0061064E">
        <w:rPr>
          <w:spacing w:val="-16"/>
          <w:sz w:val="24"/>
          <w:szCs w:val="24"/>
        </w:rPr>
        <w:t xml:space="preserve"> </w:t>
      </w:r>
      <w:r w:rsidR="00E97F42" w:rsidRPr="0061064E">
        <w:rPr>
          <w:sz w:val="24"/>
          <w:szCs w:val="24"/>
        </w:rPr>
        <w:t>bitkilerin</w:t>
      </w:r>
      <w:r w:rsidR="00E97F42" w:rsidRPr="0061064E">
        <w:rPr>
          <w:spacing w:val="-16"/>
          <w:sz w:val="24"/>
          <w:szCs w:val="24"/>
        </w:rPr>
        <w:t xml:space="preserve"> </w:t>
      </w:r>
      <w:proofErr w:type="spellStart"/>
      <w:r w:rsidR="00E97F42" w:rsidRPr="0061064E">
        <w:rPr>
          <w:sz w:val="24"/>
          <w:szCs w:val="24"/>
        </w:rPr>
        <w:t>fenolojik</w:t>
      </w:r>
      <w:proofErr w:type="spellEnd"/>
      <w:r w:rsidR="00E97F42" w:rsidRPr="0061064E">
        <w:rPr>
          <w:spacing w:val="-15"/>
          <w:sz w:val="24"/>
          <w:szCs w:val="24"/>
        </w:rPr>
        <w:t xml:space="preserve"> </w:t>
      </w:r>
      <w:r w:rsidR="00E97F42" w:rsidRPr="0061064E">
        <w:rPr>
          <w:sz w:val="24"/>
          <w:szCs w:val="24"/>
        </w:rPr>
        <w:t>durumlarına</w:t>
      </w:r>
      <w:r w:rsidR="00E97F42" w:rsidRPr="0061064E">
        <w:rPr>
          <w:spacing w:val="-16"/>
          <w:sz w:val="24"/>
          <w:szCs w:val="24"/>
        </w:rPr>
        <w:t xml:space="preserve"> </w:t>
      </w:r>
      <w:r w:rsidR="00E97F42" w:rsidRPr="0061064E">
        <w:rPr>
          <w:sz w:val="24"/>
          <w:szCs w:val="24"/>
        </w:rPr>
        <w:t>göre</w:t>
      </w:r>
      <w:r w:rsidR="00E97F42" w:rsidRPr="0061064E">
        <w:rPr>
          <w:spacing w:val="-16"/>
          <w:sz w:val="24"/>
          <w:szCs w:val="24"/>
        </w:rPr>
        <w:t xml:space="preserve"> </w:t>
      </w:r>
      <w:r w:rsidR="00E97F42" w:rsidRPr="0061064E">
        <w:rPr>
          <w:sz w:val="24"/>
          <w:szCs w:val="24"/>
        </w:rPr>
        <w:t xml:space="preserve">değişkenlik gösterdiğinden ilaçlamaya bahçelerde örnekleme yapılarak karar verilmelidir. </w:t>
      </w:r>
    </w:p>
    <w:p w14:paraId="1BECFB41" w14:textId="77777777" w:rsidR="00BE2811" w:rsidRPr="0061064E" w:rsidRDefault="00BE2811" w:rsidP="00BE2811">
      <w:pPr>
        <w:ind w:left="567" w:firstLine="496"/>
        <w:jc w:val="both"/>
        <w:rPr>
          <w:sz w:val="24"/>
          <w:szCs w:val="24"/>
        </w:rPr>
      </w:pPr>
    </w:p>
    <w:p w14:paraId="6C7B2098" w14:textId="6843F817" w:rsidR="00E97F42" w:rsidRDefault="00E97F42" w:rsidP="00BE2811">
      <w:pPr>
        <w:pStyle w:val="GvdeMetni"/>
        <w:ind w:left="567" w:right="111"/>
        <w:jc w:val="both"/>
        <w:rPr>
          <w:sz w:val="24"/>
          <w:szCs w:val="24"/>
        </w:rPr>
      </w:pPr>
    </w:p>
    <w:p w14:paraId="288D4154" w14:textId="754ACA89" w:rsidR="007B3064" w:rsidRDefault="007B3064" w:rsidP="00BE2811">
      <w:pPr>
        <w:tabs>
          <w:tab w:val="left" w:pos="1576"/>
          <w:tab w:val="left" w:pos="1577"/>
        </w:tabs>
        <w:ind w:left="567"/>
        <w:rPr>
          <w:sz w:val="24"/>
          <w:szCs w:val="24"/>
        </w:rPr>
      </w:pPr>
    </w:p>
    <w:p w14:paraId="5148F31D" w14:textId="77777777" w:rsidR="00BE2811" w:rsidRPr="001368CD" w:rsidRDefault="00BE2811" w:rsidP="00BE2811">
      <w:pPr>
        <w:tabs>
          <w:tab w:val="left" w:pos="1576"/>
          <w:tab w:val="left" w:pos="1577"/>
        </w:tabs>
        <w:ind w:left="567"/>
        <w:rPr>
          <w:sz w:val="24"/>
          <w:szCs w:val="24"/>
        </w:rPr>
      </w:pPr>
    </w:p>
    <w:p w14:paraId="029F4393" w14:textId="77777777" w:rsidR="00E97F42" w:rsidRPr="001368CD" w:rsidRDefault="00E97F42" w:rsidP="00BE2811">
      <w:pPr>
        <w:tabs>
          <w:tab w:val="left" w:pos="1576"/>
          <w:tab w:val="left" w:pos="1577"/>
        </w:tabs>
        <w:ind w:left="567"/>
        <w:rPr>
          <w:sz w:val="24"/>
          <w:szCs w:val="24"/>
        </w:rPr>
      </w:pPr>
      <w:r w:rsidRPr="001368CD">
        <w:rPr>
          <w:sz w:val="24"/>
          <w:szCs w:val="24"/>
        </w:rPr>
        <w:t>Sebzelerde ise;</w:t>
      </w:r>
    </w:p>
    <w:p w14:paraId="32F02330" w14:textId="77777777" w:rsidR="00E97F42" w:rsidRPr="001368CD" w:rsidRDefault="00E97F42" w:rsidP="00BE2811">
      <w:pPr>
        <w:pStyle w:val="ListeParagraf"/>
        <w:numPr>
          <w:ilvl w:val="0"/>
          <w:numId w:val="1"/>
        </w:numPr>
        <w:tabs>
          <w:tab w:val="left" w:pos="1576"/>
          <w:tab w:val="left" w:pos="1577"/>
        </w:tabs>
        <w:spacing w:before="111"/>
        <w:ind w:left="567"/>
        <w:rPr>
          <w:sz w:val="24"/>
          <w:szCs w:val="24"/>
        </w:rPr>
      </w:pPr>
      <w:r w:rsidRPr="001368CD">
        <w:rPr>
          <w:sz w:val="24"/>
          <w:szCs w:val="24"/>
        </w:rPr>
        <w:t>1-10 da bahçelerde 25</w:t>
      </w:r>
      <w:r w:rsidRPr="001368CD">
        <w:rPr>
          <w:spacing w:val="-4"/>
          <w:sz w:val="24"/>
          <w:szCs w:val="24"/>
        </w:rPr>
        <w:t xml:space="preserve"> </w:t>
      </w:r>
      <w:r w:rsidRPr="001368CD">
        <w:rPr>
          <w:sz w:val="24"/>
          <w:szCs w:val="24"/>
        </w:rPr>
        <w:t>bitki</w:t>
      </w:r>
    </w:p>
    <w:p w14:paraId="4182B88A" w14:textId="3320D7BE" w:rsidR="00E97F42" w:rsidRDefault="00E97F42" w:rsidP="00BE2811">
      <w:pPr>
        <w:pStyle w:val="ListeParagraf"/>
        <w:numPr>
          <w:ilvl w:val="0"/>
          <w:numId w:val="1"/>
        </w:numPr>
        <w:tabs>
          <w:tab w:val="left" w:pos="1576"/>
          <w:tab w:val="left" w:pos="1577"/>
        </w:tabs>
        <w:spacing w:before="16"/>
        <w:ind w:left="567"/>
        <w:rPr>
          <w:sz w:val="24"/>
          <w:szCs w:val="24"/>
        </w:rPr>
      </w:pPr>
      <w:r w:rsidRPr="001368CD">
        <w:rPr>
          <w:sz w:val="24"/>
          <w:szCs w:val="24"/>
        </w:rPr>
        <w:t>11-20 da bahçelerde 50</w:t>
      </w:r>
      <w:r w:rsidRPr="001368CD">
        <w:rPr>
          <w:spacing w:val="-4"/>
          <w:sz w:val="24"/>
          <w:szCs w:val="24"/>
        </w:rPr>
        <w:t xml:space="preserve"> </w:t>
      </w:r>
      <w:r w:rsidRPr="001368CD">
        <w:rPr>
          <w:sz w:val="24"/>
          <w:szCs w:val="24"/>
        </w:rPr>
        <w:t xml:space="preserve">bitki </w:t>
      </w:r>
      <w:proofErr w:type="spellStart"/>
      <w:r w:rsidRPr="001368CD">
        <w:rPr>
          <w:sz w:val="24"/>
          <w:szCs w:val="24"/>
        </w:rPr>
        <w:t>bitki</w:t>
      </w:r>
      <w:proofErr w:type="spellEnd"/>
      <w:r w:rsidRPr="001368CD">
        <w:rPr>
          <w:sz w:val="24"/>
          <w:szCs w:val="24"/>
        </w:rPr>
        <w:t xml:space="preserve"> üzerinden gözle inceleme metoduyla yapılmalıdır</w:t>
      </w:r>
      <w:r w:rsidR="001368CD">
        <w:rPr>
          <w:sz w:val="24"/>
          <w:szCs w:val="24"/>
        </w:rPr>
        <w:t>.</w:t>
      </w:r>
    </w:p>
    <w:p w14:paraId="3D047414" w14:textId="2CB7EE4A" w:rsidR="00F9362B" w:rsidRDefault="007B3064" w:rsidP="00BE2811">
      <w:pPr>
        <w:pStyle w:val="GvdeMetni"/>
        <w:spacing w:line="276" w:lineRule="auto"/>
        <w:ind w:left="567" w:right="111"/>
        <w:jc w:val="both"/>
        <w:rPr>
          <w:sz w:val="24"/>
          <w:szCs w:val="24"/>
        </w:rPr>
      </w:pPr>
      <w:r w:rsidRPr="007B3064">
        <w:rPr>
          <w:sz w:val="24"/>
          <w:szCs w:val="24"/>
        </w:rPr>
        <w:t xml:space="preserve">Ekim/dikim zamanından itibaren zararlı takip edilmeli, tarlayı temsil edecek şekilde, köşegenler boyunca 5 farklı noktada yan yana 10’ar bitki olmak üzere toplam 50 bitkinin yaprak, çiçek ve meyveleri gözle kontrol edilmelidir. Kontrollerde 50 bitkide 10 </w:t>
      </w:r>
      <w:proofErr w:type="spellStart"/>
      <w:r w:rsidRPr="007B3064">
        <w:rPr>
          <w:sz w:val="24"/>
          <w:szCs w:val="24"/>
        </w:rPr>
        <w:t>nimf</w:t>
      </w:r>
      <w:proofErr w:type="spellEnd"/>
      <w:r w:rsidRPr="007B3064">
        <w:rPr>
          <w:sz w:val="24"/>
          <w:szCs w:val="24"/>
        </w:rPr>
        <w:t xml:space="preserve"> veya 10 ergin tespit edilmesi halinde ilaçlama yapılmalıdır.</w:t>
      </w:r>
    </w:p>
    <w:p w14:paraId="273D49F4" w14:textId="77777777" w:rsidR="00BE2811" w:rsidRDefault="00BE2811" w:rsidP="00BE2811">
      <w:pPr>
        <w:pStyle w:val="GvdeMetni"/>
        <w:spacing w:line="276" w:lineRule="auto"/>
        <w:ind w:left="567" w:right="111"/>
        <w:jc w:val="both"/>
        <w:rPr>
          <w:sz w:val="24"/>
          <w:szCs w:val="24"/>
        </w:rPr>
      </w:pPr>
    </w:p>
    <w:p w14:paraId="5D013BBA" w14:textId="6A2CCA58" w:rsidR="007B3064" w:rsidRDefault="007B3064" w:rsidP="00BE2811">
      <w:pPr>
        <w:pStyle w:val="GvdeMetni"/>
        <w:spacing w:line="276" w:lineRule="auto"/>
        <w:ind w:left="567" w:right="111"/>
        <w:jc w:val="both"/>
        <w:rPr>
          <w:sz w:val="24"/>
          <w:szCs w:val="24"/>
        </w:rPr>
      </w:pPr>
    </w:p>
    <w:p w14:paraId="535B7F5D" w14:textId="77777777" w:rsidR="004A4D94" w:rsidRDefault="004A4D94" w:rsidP="00BE2811">
      <w:pPr>
        <w:pStyle w:val="GvdeMetni"/>
        <w:spacing w:line="276" w:lineRule="auto"/>
        <w:ind w:left="567" w:right="111"/>
        <w:jc w:val="both"/>
        <w:rPr>
          <w:sz w:val="24"/>
          <w:szCs w:val="24"/>
        </w:rPr>
      </w:pPr>
    </w:p>
    <w:p w14:paraId="34BFFC1B" w14:textId="7C860897" w:rsidR="00F9362B" w:rsidRPr="00394D13" w:rsidRDefault="00F9362B" w:rsidP="00BE2811">
      <w:pPr>
        <w:pStyle w:val="GvdeMetni"/>
        <w:spacing w:line="276" w:lineRule="auto"/>
        <w:ind w:left="567" w:right="111" w:firstLine="720"/>
        <w:jc w:val="both"/>
        <w:rPr>
          <w:sz w:val="24"/>
          <w:szCs w:val="24"/>
        </w:rPr>
      </w:pPr>
      <w:r w:rsidRPr="00394D13">
        <w:rPr>
          <w:sz w:val="24"/>
          <w:szCs w:val="24"/>
        </w:rPr>
        <w:t>Mısırda;</w:t>
      </w:r>
    </w:p>
    <w:p w14:paraId="1DF30E0F" w14:textId="4E16094A" w:rsidR="00F9362B" w:rsidRDefault="007B3064" w:rsidP="00BE2811">
      <w:pPr>
        <w:pStyle w:val="ListeParagraf"/>
        <w:tabs>
          <w:tab w:val="left" w:pos="1418"/>
        </w:tabs>
        <w:spacing w:before="16" w:line="276" w:lineRule="auto"/>
        <w:ind w:left="567" w:firstLine="426"/>
        <w:jc w:val="both"/>
        <w:rPr>
          <w:sz w:val="24"/>
          <w:szCs w:val="24"/>
        </w:rPr>
      </w:pPr>
      <w:r w:rsidRPr="007B3064">
        <w:rPr>
          <w:sz w:val="24"/>
          <w:szCs w:val="24"/>
        </w:rPr>
        <w:t xml:space="preserve">Kahverengi kokarca mısır bitkisinde vejetasyonun ilk evrelerinde beslenmeyi çok tercih etmese de sadece mısır alanlarının olduğu bölgelerde zararlının </w:t>
      </w:r>
      <w:proofErr w:type="spellStart"/>
      <w:r w:rsidRPr="007B3064">
        <w:rPr>
          <w:sz w:val="24"/>
          <w:szCs w:val="24"/>
        </w:rPr>
        <w:t>feromon</w:t>
      </w:r>
      <w:proofErr w:type="spellEnd"/>
      <w:r w:rsidRPr="007B3064">
        <w:rPr>
          <w:sz w:val="24"/>
          <w:szCs w:val="24"/>
        </w:rPr>
        <w:t xml:space="preserve"> tuzaklarla yakalanması durumunda, mısırın 8 yapraklı döneminden önce tarlanın sınırlarında koruyucu bir ilaçlama yapılır. Aynı alanda gövde delicilere (mısır kurdu, mısır koçan kurdu, benekli gövde kurdu) karşı kimyasal mücadele yapılması durumunda bu zararlıların mücadelesi </w:t>
      </w:r>
      <w:proofErr w:type="gramStart"/>
      <w:r w:rsidRPr="007B3064">
        <w:rPr>
          <w:sz w:val="24"/>
          <w:szCs w:val="24"/>
        </w:rPr>
        <w:t>entegre</w:t>
      </w:r>
      <w:proofErr w:type="gramEnd"/>
      <w:r w:rsidRPr="007B3064">
        <w:rPr>
          <w:sz w:val="24"/>
          <w:szCs w:val="24"/>
        </w:rPr>
        <w:t xml:space="preserve"> edilir. Mücadele, sadece tane mısır üretim alanlarında önerilir. Mısırda 8 yapraklı dönemden itibaren zararlı takip edilmeli, tarlayı temsil edecek şekilde, köşegenler boyunca 3 farklı noktada yan yana 10’ar bitki olmak üzere toplam 30 bitkinin yaprak, koçan püskülü ve koçanları gözle kontrol edilmelidir. Kontrollerde 30 bitkide 7 </w:t>
      </w:r>
      <w:proofErr w:type="spellStart"/>
      <w:r w:rsidRPr="007B3064">
        <w:rPr>
          <w:sz w:val="24"/>
          <w:szCs w:val="24"/>
        </w:rPr>
        <w:t>nimf</w:t>
      </w:r>
      <w:proofErr w:type="spellEnd"/>
      <w:r w:rsidRPr="007B3064">
        <w:rPr>
          <w:sz w:val="24"/>
          <w:szCs w:val="24"/>
        </w:rPr>
        <w:t xml:space="preserve"> veya 7 ergin tespit edilmesi halinde ilaçlama yapılmalıdır.</w:t>
      </w:r>
    </w:p>
    <w:sectPr w:rsidR="00F9362B" w:rsidSect="00BE2811">
      <w:pgSz w:w="11920" w:h="16850"/>
      <w:pgMar w:top="1820" w:right="1300" w:bottom="2268" w:left="92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54712" w14:textId="77777777" w:rsidR="00956785" w:rsidRDefault="00956785">
      <w:r>
        <w:separator/>
      </w:r>
    </w:p>
  </w:endnote>
  <w:endnote w:type="continuationSeparator" w:id="0">
    <w:p w14:paraId="4AC479B8" w14:textId="77777777" w:rsidR="00956785" w:rsidRDefault="0095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DAE60" w14:textId="77777777" w:rsidR="00956785" w:rsidRDefault="00956785">
      <w:r>
        <w:separator/>
      </w:r>
    </w:p>
  </w:footnote>
  <w:footnote w:type="continuationSeparator" w:id="0">
    <w:p w14:paraId="7B22C30C" w14:textId="77777777" w:rsidR="00956785" w:rsidRDefault="0095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EA50" w14:textId="75DF7C9A" w:rsidR="0027280E" w:rsidRDefault="00AC4C3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EE23FB" wp14:editId="2DE64485">
              <wp:simplePos x="0" y="0"/>
              <wp:positionH relativeFrom="page">
                <wp:posOffset>1895475</wp:posOffset>
              </wp:positionH>
              <wp:positionV relativeFrom="page">
                <wp:posOffset>441325</wp:posOffset>
              </wp:positionV>
              <wp:extent cx="3772535" cy="7327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2535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0AF08" w14:textId="086EF71B" w:rsidR="0027280E" w:rsidRDefault="0027280E">
                          <w:pPr>
                            <w:spacing w:before="184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EE23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9.25pt;margin-top:34.75pt;width:297.05pt;height:5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" filled="f" stroked="f">
              <v:textbox inset="0,0,0,0">
                <w:txbxContent>
                  <w:p w14:paraId="33F0AF08" w14:textId="086EF71B" w:rsidR="0027280E" w:rsidRDefault="0027280E">
                    <w:pPr>
                      <w:spacing w:before="184"/>
                      <w:ind w:left="1" w:right="1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F53"/>
    <w:multiLevelType w:val="hybridMultilevel"/>
    <w:tmpl w:val="165AE588"/>
    <w:lvl w:ilvl="0" w:tplc="59F6B4FA">
      <w:start w:val="3"/>
      <w:numFmt w:val="decimal"/>
      <w:lvlText w:val="%1-"/>
      <w:lvlJc w:val="left"/>
      <w:pPr>
        <w:ind w:left="325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88B04A7C">
      <w:numFmt w:val="bullet"/>
      <w:lvlText w:val="•"/>
      <w:lvlJc w:val="left"/>
      <w:pPr>
        <w:ind w:left="400" w:hanging="219"/>
      </w:pPr>
      <w:rPr>
        <w:rFonts w:hint="default"/>
        <w:lang w:val="tr-TR" w:eastAsia="en-US" w:bidi="ar-SA"/>
      </w:rPr>
    </w:lvl>
    <w:lvl w:ilvl="2" w:tplc="E7727E6A">
      <w:numFmt w:val="bullet"/>
      <w:lvlText w:val="•"/>
      <w:lvlJc w:val="left"/>
      <w:pPr>
        <w:ind w:left="480" w:hanging="219"/>
      </w:pPr>
      <w:rPr>
        <w:rFonts w:hint="default"/>
        <w:lang w:val="tr-TR" w:eastAsia="en-US" w:bidi="ar-SA"/>
      </w:rPr>
    </w:lvl>
    <w:lvl w:ilvl="3" w:tplc="17A4377E">
      <w:numFmt w:val="bullet"/>
      <w:lvlText w:val="•"/>
      <w:lvlJc w:val="left"/>
      <w:pPr>
        <w:ind w:left="560" w:hanging="219"/>
      </w:pPr>
      <w:rPr>
        <w:rFonts w:hint="default"/>
        <w:lang w:val="tr-TR" w:eastAsia="en-US" w:bidi="ar-SA"/>
      </w:rPr>
    </w:lvl>
    <w:lvl w:ilvl="4" w:tplc="6CEC0A8E">
      <w:numFmt w:val="bullet"/>
      <w:lvlText w:val="•"/>
      <w:lvlJc w:val="left"/>
      <w:pPr>
        <w:ind w:left="641" w:hanging="219"/>
      </w:pPr>
      <w:rPr>
        <w:rFonts w:hint="default"/>
        <w:lang w:val="tr-TR" w:eastAsia="en-US" w:bidi="ar-SA"/>
      </w:rPr>
    </w:lvl>
    <w:lvl w:ilvl="5" w:tplc="6A1875E4">
      <w:numFmt w:val="bullet"/>
      <w:lvlText w:val="•"/>
      <w:lvlJc w:val="left"/>
      <w:pPr>
        <w:ind w:left="721" w:hanging="219"/>
      </w:pPr>
      <w:rPr>
        <w:rFonts w:hint="default"/>
        <w:lang w:val="tr-TR" w:eastAsia="en-US" w:bidi="ar-SA"/>
      </w:rPr>
    </w:lvl>
    <w:lvl w:ilvl="6" w:tplc="13C25766">
      <w:numFmt w:val="bullet"/>
      <w:lvlText w:val="•"/>
      <w:lvlJc w:val="left"/>
      <w:pPr>
        <w:ind w:left="801" w:hanging="219"/>
      </w:pPr>
      <w:rPr>
        <w:rFonts w:hint="default"/>
        <w:lang w:val="tr-TR" w:eastAsia="en-US" w:bidi="ar-SA"/>
      </w:rPr>
    </w:lvl>
    <w:lvl w:ilvl="7" w:tplc="7F566794">
      <w:numFmt w:val="bullet"/>
      <w:lvlText w:val="•"/>
      <w:lvlJc w:val="left"/>
      <w:pPr>
        <w:ind w:left="882" w:hanging="219"/>
      </w:pPr>
      <w:rPr>
        <w:rFonts w:hint="default"/>
        <w:lang w:val="tr-TR" w:eastAsia="en-US" w:bidi="ar-SA"/>
      </w:rPr>
    </w:lvl>
    <w:lvl w:ilvl="8" w:tplc="1D7ECBE8">
      <w:numFmt w:val="bullet"/>
      <w:lvlText w:val="•"/>
      <w:lvlJc w:val="left"/>
      <w:pPr>
        <w:ind w:left="962" w:hanging="219"/>
      </w:pPr>
      <w:rPr>
        <w:rFonts w:hint="default"/>
        <w:lang w:val="tr-TR" w:eastAsia="en-US" w:bidi="ar-SA"/>
      </w:rPr>
    </w:lvl>
  </w:abstractNum>
  <w:abstractNum w:abstractNumId="1" w15:restartNumberingAfterBreak="0">
    <w:nsid w:val="1EF8507E"/>
    <w:multiLevelType w:val="hybridMultilevel"/>
    <w:tmpl w:val="773CC674"/>
    <w:lvl w:ilvl="0" w:tplc="CEC28836">
      <w:start w:val="8"/>
      <w:numFmt w:val="decimal"/>
      <w:lvlText w:val="%1-"/>
      <w:lvlJc w:val="left"/>
      <w:pPr>
        <w:ind w:left="328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194CDA0E">
      <w:numFmt w:val="bullet"/>
      <w:lvlText w:val="•"/>
      <w:lvlJc w:val="left"/>
      <w:pPr>
        <w:ind w:left="431" w:hanging="219"/>
      </w:pPr>
      <w:rPr>
        <w:rFonts w:hint="default"/>
        <w:lang w:val="tr-TR" w:eastAsia="en-US" w:bidi="ar-SA"/>
      </w:rPr>
    </w:lvl>
    <w:lvl w:ilvl="2" w:tplc="FC0A9A1E">
      <w:numFmt w:val="bullet"/>
      <w:lvlText w:val="•"/>
      <w:lvlJc w:val="left"/>
      <w:pPr>
        <w:ind w:left="543" w:hanging="219"/>
      </w:pPr>
      <w:rPr>
        <w:rFonts w:hint="default"/>
        <w:lang w:val="tr-TR" w:eastAsia="en-US" w:bidi="ar-SA"/>
      </w:rPr>
    </w:lvl>
    <w:lvl w:ilvl="3" w:tplc="21A29A20">
      <w:numFmt w:val="bullet"/>
      <w:lvlText w:val="•"/>
      <w:lvlJc w:val="left"/>
      <w:pPr>
        <w:ind w:left="654" w:hanging="219"/>
      </w:pPr>
      <w:rPr>
        <w:rFonts w:hint="default"/>
        <w:lang w:val="tr-TR" w:eastAsia="en-US" w:bidi="ar-SA"/>
      </w:rPr>
    </w:lvl>
    <w:lvl w:ilvl="4" w:tplc="4F108B18">
      <w:numFmt w:val="bullet"/>
      <w:lvlText w:val="•"/>
      <w:lvlJc w:val="left"/>
      <w:pPr>
        <w:ind w:left="766" w:hanging="219"/>
      </w:pPr>
      <w:rPr>
        <w:rFonts w:hint="default"/>
        <w:lang w:val="tr-TR" w:eastAsia="en-US" w:bidi="ar-SA"/>
      </w:rPr>
    </w:lvl>
    <w:lvl w:ilvl="5" w:tplc="7F845CBC">
      <w:numFmt w:val="bullet"/>
      <w:lvlText w:val="•"/>
      <w:lvlJc w:val="left"/>
      <w:pPr>
        <w:ind w:left="878" w:hanging="219"/>
      </w:pPr>
      <w:rPr>
        <w:rFonts w:hint="default"/>
        <w:lang w:val="tr-TR" w:eastAsia="en-US" w:bidi="ar-SA"/>
      </w:rPr>
    </w:lvl>
    <w:lvl w:ilvl="6" w:tplc="185CD9B8">
      <w:numFmt w:val="bullet"/>
      <w:lvlText w:val="•"/>
      <w:lvlJc w:val="left"/>
      <w:pPr>
        <w:ind w:left="989" w:hanging="219"/>
      </w:pPr>
      <w:rPr>
        <w:rFonts w:hint="default"/>
        <w:lang w:val="tr-TR" w:eastAsia="en-US" w:bidi="ar-SA"/>
      </w:rPr>
    </w:lvl>
    <w:lvl w:ilvl="7" w:tplc="0532BD8C">
      <w:numFmt w:val="bullet"/>
      <w:lvlText w:val="•"/>
      <w:lvlJc w:val="left"/>
      <w:pPr>
        <w:ind w:left="1101" w:hanging="219"/>
      </w:pPr>
      <w:rPr>
        <w:rFonts w:hint="default"/>
        <w:lang w:val="tr-TR" w:eastAsia="en-US" w:bidi="ar-SA"/>
      </w:rPr>
    </w:lvl>
    <w:lvl w:ilvl="8" w:tplc="1AA0E280">
      <w:numFmt w:val="bullet"/>
      <w:lvlText w:val="•"/>
      <w:lvlJc w:val="left"/>
      <w:pPr>
        <w:ind w:left="1212" w:hanging="219"/>
      </w:pPr>
      <w:rPr>
        <w:rFonts w:hint="default"/>
        <w:lang w:val="tr-TR" w:eastAsia="en-US" w:bidi="ar-SA"/>
      </w:rPr>
    </w:lvl>
  </w:abstractNum>
  <w:abstractNum w:abstractNumId="2" w15:restartNumberingAfterBreak="0">
    <w:nsid w:val="28EF0195"/>
    <w:multiLevelType w:val="hybridMultilevel"/>
    <w:tmpl w:val="CA1E61DE"/>
    <w:lvl w:ilvl="0" w:tplc="ECA4D2C0">
      <w:start w:val="7"/>
      <w:numFmt w:val="decimal"/>
      <w:lvlText w:val="%1-"/>
      <w:lvlJc w:val="left"/>
      <w:pPr>
        <w:ind w:left="293" w:hanging="186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tr-TR" w:eastAsia="en-US" w:bidi="ar-SA"/>
      </w:rPr>
    </w:lvl>
    <w:lvl w:ilvl="1" w:tplc="9D5C8162">
      <w:numFmt w:val="bullet"/>
      <w:lvlText w:val="•"/>
      <w:lvlJc w:val="left"/>
      <w:pPr>
        <w:ind w:left="396" w:hanging="186"/>
      </w:pPr>
      <w:rPr>
        <w:rFonts w:hint="default"/>
        <w:lang w:val="tr-TR" w:eastAsia="en-US" w:bidi="ar-SA"/>
      </w:rPr>
    </w:lvl>
    <w:lvl w:ilvl="2" w:tplc="10FE2FA0">
      <w:numFmt w:val="bullet"/>
      <w:lvlText w:val="•"/>
      <w:lvlJc w:val="left"/>
      <w:pPr>
        <w:ind w:left="492" w:hanging="186"/>
      </w:pPr>
      <w:rPr>
        <w:rFonts w:hint="default"/>
        <w:lang w:val="tr-TR" w:eastAsia="en-US" w:bidi="ar-SA"/>
      </w:rPr>
    </w:lvl>
    <w:lvl w:ilvl="3" w:tplc="70EEBA34">
      <w:numFmt w:val="bullet"/>
      <w:lvlText w:val="•"/>
      <w:lvlJc w:val="left"/>
      <w:pPr>
        <w:ind w:left="588" w:hanging="186"/>
      </w:pPr>
      <w:rPr>
        <w:rFonts w:hint="default"/>
        <w:lang w:val="tr-TR" w:eastAsia="en-US" w:bidi="ar-SA"/>
      </w:rPr>
    </w:lvl>
    <w:lvl w:ilvl="4" w:tplc="E7A416C4">
      <w:numFmt w:val="bullet"/>
      <w:lvlText w:val="•"/>
      <w:lvlJc w:val="left"/>
      <w:pPr>
        <w:ind w:left="684" w:hanging="186"/>
      </w:pPr>
      <w:rPr>
        <w:rFonts w:hint="default"/>
        <w:lang w:val="tr-TR" w:eastAsia="en-US" w:bidi="ar-SA"/>
      </w:rPr>
    </w:lvl>
    <w:lvl w:ilvl="5" w:tplc="B9706E00">
      <w:numFmt w:val="bullet"/>
      <w:lvlText w:val="•"/>
      <w:lvlJc w:val="left"/>
      <w:pPr>
        <w:ind w:left="781" w:hanging="186"/>
      </w:pPr>
      <w:rPr>
        <w:rFonts w:hint="default"/>
        <w:lang w:val="tr-TR" w:eastAsia="en-US" w:bidi="ar-SA"/>
      </w:rPr>
    </w:lvl>
    <w:lvl w:ilvl="6" w:tplc="635AD81E">
      <w:numFmt w:val="bullet"/>
      <w:lvlText w:val="•"/>
      <w:lvlJc w:val="left"/>
      <w:pPr>
        <w:ind w:left="877" w:hanging="186"/>
      </w:pPr>
      <w:rPr>
        <w:rFonts w:hint="default"/>
        <w:lang w:val="tr-TR" w:eastAsia="en-US" w:bidi="ar-SA"/>
      </w:rPr>
    </w:lvl>
    <w:lvl w:ilvl="7" w:tplc="8000EB60">
      <w:numFmt w:val="bullet"/>
      <w:lvlText w:val="•"/>
      <w:lvlJc w:val="left"/>
      <w:pPr>
        <w:ind w:left="973" w:hanging="186"/>
      </w:pPr>
      <w:rPr>
        <w:rFonts w:hint="default"/>
        <w:lang w:val="tr-TR" w:eastAsia="en-US" w:bidi="ar-SA"/>
      </w:rPr>
    </w:lvl>
    <w:lvl w:ilvl="8" w:tplc="4020628A">
      <w:numFmt w:val="bullet"/>
      <w:lvlText w:val="•"/>
      <w:lvlJc w:val="left"/>
      <w:pPr>
        <w:ind w:left="1069" w:hanging="186"/>
      </w:pPr>
      <w:rPr>
        <w:rFonts w:hint="default"/>
        <w:lang w:val="tr-TR" w:eastAsia="en-US" w:bidi="ar-SA"/>
      </w:rPr>
    </w:lvl>
  </w:abstractNum>
  <w:abstractNum w:abstractNumId="3" w15:restartNumberingAfterBreak="0">
    <w:nsid w:val="57192646"/>
    <w:multiLevelType w:val="hybridMultilevel"/>
    <w:tmpl w:val="19567AF4"/>
    <w:lvl w:ilvl="0" w:tplc="56D237AA">
      <w:start w:val="1"/>
      <w:numFmt w:val="decimal"/>
      <w:lvlText w:val="%1-"/>
      <w:lvlJc w:val="left"/>
      <w:pPr>
        <w:ind w:left="325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03E82614">
      <w:numFmt w:val="bullet"/>
      <w:lvlText w:val="•"/>
      <w:lvlJc w:val="left"/>
      <w:pPr>
        <w:ind w:left="400" w:hanging="219"/>
      </w:pPr>
      <w:rPr>
        <w:rFonts w:hint="default"/>
        <w:lang w:val="tr-TR" w:eastAsia="en-US" w:bidi="ar-SA"/>
      </w:rPr>
    </w:lvl>
    <w:lvl w:ilvl="2" w:tplc="50486456">
      <w:numFmt w:val="bullet"/>
      <w:lvlText w:val="•"/>
      <w:lvlJc w:val="left"/>
      <w:pPr>
        <w:ind w:left="480" w:hanging="219"/>
      </w:pPr>
      <w:rPr>
        <w:rFonts w:hint="default"/>
        <w:lang w:val="tr-TR" w:eastAsia="en-US" w:bidi="ar-SA"/>
      </w:rPr>
    </w:lvl>
    <w:lvl w:ilvl="3" w:tplc="B16AE5B6">
      <w:numFmt w:val="bullet"/>
      <w:lvlText w:val="•"/>
      <w:lvlJc w:val="left"/>
      <w:pPr>
        <w:ind w:left="560" w:hanging="219"/>
      </w:pPr>
      <w:rPr>
        <w:rFonts w:hint="default"/>
        <w:lang w:val="tr-TR" w:eastAsia="en-US" w:bidi="ar-SA"/>
      </w:rPr>
    </w:lvl>
    <w:lvl w:ilvl="4" w:tplc="20FA68D0">
      <w:numFmt w:val="bullet"/>
      <w:lvlText w:val="•"/>
      <w:lvlJc w:val="left"/>
      <w:pPr>
        <w:ind w:left="641" w:hanging="219"/>
      </w:pPr>
      <w:rPr>
        <w:rFonts w:hint="default"/>
        <w:lang w:val="tr-TR" w:eastAsia="en-US" w:bidi="ar-SA"/>
      </w:rPr>
    </w:lvl>
    <w:lvl w:ilvl="5" w:tplc="7952C2F4">
      <w:numFmt w:val="bullet"/>
      <w:lvlText w:val="•"/>
      <w:lvlJc w:val="left"/>
      <w:pPr>
        <w:ind w:left="721" w:hanging="219"/>
      </w:pPr>
      <w:rPr>
        <w:rFonts w:hint="default"/>
        <w:lang w:val="tr-TR" w:eastAsia="en-US" w:bidi="ar-SA"/>
      </w:rPr>
    </w:lvl>
    <w:lvl w:ilvl="6" w:tplc="9F5E62CA">
      <w:numFmt w:val="bullet"/>
      <w:lvlText w:val="•"/>
      <w:lvlJc w:val="left"/>
      <w:pPr>
        <w:ind w:left="801" w:hanging="219"/>
      </w:pPr>
      <w:rPr>
        <w:rFonts w:hint="default"/>
        <w:lang w:val="tr-TR" w:eastAsia="en-US" w:bidi="ar-SA"/>
      </w:rPr>
    </w:lvl>
    <w:lvl w:ilvl="7" w:tplc="56F2E3EA">
      <w:numFmt w:val="bullet"/>
      <w:lvlText w:val="•"/>
      <w:lvlJc w:val="left"/>
      <w:pPr>
        <w:ind w:left="882" w:hanging="219"/>
      </w:pPr>
      <w:rPr>
        <w:rFonts w:hint="default"/>
        <w:lang w:val="tr-TR" w:eastAsia="en-US" w:bidi="ar-SA"/>
      </w:rPr>
    </w:lvl>
    <w:lvl w:ilvl="8" w:tplc="3B940678">
      <w:numFmt w:val="bullet"/>
      <w:lvlText w:val="•"/>
      <w:lvlJc w:val="left"/>
      <w:pPr>
        <w:ind w:left="962" w:hanging="219"/>
      </w:pPr>
      <w:rPr>
        <w:rFonts w:hint="default"/>
        <w:lang w:val="tr-TR" w:eastAsia="en-US" w:bidi="ar-SA"/>
      </w:rPr>
    </w:lvl>
  </w:abstractNum>
  <w:abstractNum w:abstractNumId="4" w15:restartNumberingAfterBreak="0">
    <w:nsid w:val="5B354931"/>
    <w:multiLevelType w:val="hybridMultilevel"/>
    <w:tmpl w:val="1DB2BD2C"/>
    <w:lvl w:ilvl="0" w:tplc="D4D6A2BC">
      <w:numFmt w:val="bullet"/>
      <w:lvlText w:val=""/>
      <w:lvlJc w:val="left"/>
      <w:pPr>
        <w:ind w:left="1576" w:hanging="363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CCACC18">
      <w:numFmt w:val="bullet"/>
      <w:lvlText w:val="•"/>
      <w:lvlJc w:val="left"/>
      <w:pPr>
        <w:ind w:left="2391" w:hanging="363"/>
      </w:pPr>
      <w:rPr>
        <w:rFonts w:hint="default"/>
        <w:lang w:val="tr-TR" w:eastAsia="en-US" w:bidi="ar-SA"/>
      </w:rPr>
    </w:lvl>
    <w:lvl w:ilvl="2" w:tplc="4DDC5C44">
      <w:numFmt w:val="bullet"/>
      <w:lvlText w:val="•"/>
      <w:lvlJc w:val="left"/>
      <w:pPr>
        <w:ind w:left="3202" w:hanging="363"/>
      </w:pPr>
      <w:rPr>
        <w:rFonts w:hint="default"/>
        <w:lang w:val="tr-TR" w:eastAsia="en-US" w:bidi="ar-SA"/>
      </w:rPr>
    </w:lvl>
    <w:lvl w:ilvl="3" w:tplc="00A4FD5A">
      <w:numFmt w:val="bullet"/>
      <w:lvlText w:val="•"/>
      <w:lvlJc w:val="left"/>
      <w:pPr>
        <w:ind w:left="4013" w:hanging="363"/>
      </w:pPr>
      <w:rPr>
        <w:rFonts w:hint="default"/>
        <w:lang w:val="tr-TR" w:eastAsia="en-US" w:bidi="ar-SA"/>
      </w:rPr>
    </w:lvl>
    <w:lvl w:ilvl="4" w:tplc="08089980">
      <w:numFmt w:val="bullet"/>
      <w:lvlText w:val="•"/>
      <w:lvlJc w:val="left"/>
      <w:pPr>
        <w:ind w:left="4824" w:hanging="363"/>
      </w:pPr>
      <w:rPr>
        <w:rFonts w:hint="default"/>
        <w:lang w:val="tr-TR" w:eastAsia="en-US" w:bidi="ar-SA"/>
      </w:rPr>
    </w:lvl>
    <w:lvl w:ilvl="5" w:tplc="5782AB70">
      <w:numFmt w:val="bullet"/>
      <w:lvlText w:val="•"/>
      <w:lvlJc w:val="left"/>
      <w:pPr>
        <w:ind w:left="5635" w:hanging="363"/>
      </w:pPr>
      <w:rPr>
        <w:rFonts w:hint="default"/>
        <w:lang w:val="tr-TR" w:eastAsia="en-US" w:bidi="ar-SA"/>
      </w:rPr>
    </w:lvl>
    <w:lvl w:ilvl="6" w:tplc="61A69242">
      <w:numFmt w:val="bullet"/>
      <w:lvlText w:val="•"/>
      <w:lvlJc w:val="left"/>
      <w:pPr>
        <w:ind w:left="6446" w:hanging="363"/>
      </w:pPr>
      <w:rPr>
        <w:rFonts w:hint="default"/>
        <w:lang w:val="tr-TR" w:eastAsia="en-US" w:bidi="ar-SA"/>
      </w:rPr>
    </w:lvl>
    <w:lvl w:ilvl="7" w:tplc="63A42474">
      <w:numFmt w:val="bullet"/>
      <w:lvlText w:val="•"/>
      <w:lvlJc w:val="left"/>
      <w:pPr>
        <w:ind w:left="7257" w:hanging="363"/>
      </w:pPr>
      <w:rPr>
        <w:rFonts w:hint="default"/>
        <w:lang w:val="tr-TR" w:eastAsia="en-US" w:bidi="ar-SA"/>
      </w:rPr>
    </w:lvl>
    <w:lvl w:ilvl="8" w:tplc="FC700744">
      <w:numFmt w:val="bullet"/>
      <w:lvlText w:val="•"/>
      <w:lvlJc w:val="left"/>
      <w:pPr>
        <w:ind w:left="8068" w:hanging="363"/>
      </w:pPr>
      <w:rPr>
        <w:rFonts w:hint="default"/>
        <w:lang w:val="tr-TR" w:eastAsia="en-US" w:bidi="ar-SA"/>
      </w:rPr>
    </w:lvl>
  </w:abstractNum>
  <w:abstractNum w:abstractNumId="5" w15:restartNumberingAfterBreak="0">
    <w:nsid w:val="62EC457A"/>
    <w:multiLevelType w:val="hybridMultilevel"/>
    <w:tmpl w:val="343C5EBC"/>
    <w:lvl w:ilvl="0" w:tplc="B68C99C4">
      <w:start w:val="2"/>
      <w:numFmt w:val="decimal"/>
      <w:lvlText w:val="%1-"/>
      <w:lvlJc w:val="left"/>
      <w:pPr>
        <w:ind w:left="325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7EBEC64C">
      <w:numFmt w:val="bullet"/>
      <w:lvlText w:val="•"/>
      <w:lvlJc w:val="left"/>
      <w:pPr>
        <w:ind w:left="400" w:hanging="219"/>
      </w:pPr>
      <w:rPr>
        <w:rFonts w:hint="default"/>
        <w:lang w:val="tr-TR" w:eastAsia="en-US" w:bidi="ar-SA"/>
      </w:rPr>
    </w:lvl>
    <w:lvl w:ilvl="2" w:tplc="02CC9596">
      <w:numFmt w:val="bullet"/>
      <w:lvlText w:val="•"/>
      <w:lvlJc w:val="left"/>
      <w:pPr>
        <w:ind w:left="480" w:hanging="219"/>
      </w:pPr>
      <w:rPr>
        <w:rFonts w:hint="default"/>
        <w:lang w:val="tr-TR" w:eastAsia="en-US" w:bidi="ar-SA"/>
      </w:rPr>
    </w:lvl>
    <w:lvl w:ilvl="3" w:tplc="312A611E">
      <w:numFmt w:val="bullet"/>
      <w:lvlText w:val="•"/>
      <w:lvlJc w:val="left"/>
      <w:pPr>
        <w:ind w:left="560" w:hanging="219"/>
      </w:pPr>
      <w:rPr>
        <w:rFonts w:hint="default"/>
        <w:lang w:val="tr-TR" w:eastAsia="en-US" w:bidi="ar-SA"/>
      </w:rPr>
    </w:lvl>
    <w:lvl w:ilvl="4" w:tplc="3F7A91C4">
      <w:numFmt w:val="bullet"/>
      <w:lvlText w:val="•"/>
      <w:lvlJc w:val="left"/>
      <w:pPr>
        <w:ind w:left="641" w:hanging="219"/>
      </w:pPr>
      <w:rPr>
        <w:rFonts w:hint="default"/>
        <w:lang w:val="tr-TR" w:eastAsia="en-US" w:bidi="ar-SA"/>
      </w:rPr>
    </w:lvl>
    <w:lvl w:ilvl="5" w:tplc="81F40B14">
      <w:numFmt w:val="bullet"/>
      <w:lvlText w:val="•"/>
      <w:lvlJc w:val="left"/>
      <w:pPr>
        <w:ind w:left="721" w:hanging="219"/>
      </w:pPr>
      <w:rPr>
        <w:rFonts w:hint="default"/>
        <w:lang w:val="tr-TR" w:eastAsia="en-US" w:bidi="ar-SA"/>
      </w:rPr>
    </w:lvl>
    <w:lvl w:ilvl="6" w:tplc="4F8E617E">
      <w:numFmt w:val="bullet"/>
      <w:lvlText w:val="•"/>
      <w:lvlJc w:val="left"/>
      <w:pPr>
        <w:ind w:left="801" w:hanging="219"/>
      </w:pPr>
      <w:rPr>
        <w:rFonts w:hint="default"/>
        <w:lang w:val="tr-TR" w:eastAsia="en-US" w:bidi="ar-SA"/>
      </w:rPr>
    </w:lvl>
    <w:lvl w:ilvl="7" w:tplc="7F28CA3C">
      <w:numFmt w:val="bullet"/>
      <w:lvlText w:val="•"/>
      <w:lvlJc w:val="left"/>
      <w:pPr>
        <w:ind w:left="882" w:hanging="219"/>
      </w:pPr>
      <w:rPr>
        <w:rFonts w:hint="default"/>
        <w:lang w:val="tr-TR" w:eastAsia="en-US" w:bidi="ar-SA"/>
      </w:rPr>
    </w:lvl>
    <w:lvl w:ilvl="8" w:tplc="F1CE2BA4">
      <w:numFmt w:val="bullet"/>
      <w:lvlText w:val="•"/>
      <w:lvlJc w:val="left"/>
      <w:pPr>
        <w:ind w:left="962" w:hanging="219"/>
      </w:pPr>
      <w:rPr>
        <w:rFonts w:hint="default"/>
        <w:lang w:val="tr-TR" w:eastAsia="en-US" w:bidi="ar-SA"/>
      </w:rPr>
    </w:lvl>
  </w:abstractNum>
  <w:abstractNum w:abstractNumId="6" w15:restartNumberingAfterBreak="0">
    <w:nsid w:val="79E92202"/>
    <w:multiLevelType w:val="hybridMultilevel"/>
    <w:tmpl w:val="CA1E61DE"/>
    <w:lvl w:ilvl="0" w:tplc="ECA4D2C0">
      <w:start w:val="7"/>
      <w:numFmt w:val="decimal"/>
      <w:lvlText w:val="%1-"/>
      <w:lvlJc w:val="left"/>
      <w:pPr>
        <w:ind w:left="293" w:hanging="186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tr-TR" w:eastAsia="en-US" w:bidi="ar-SA"/>
      </w:rPr>
    </w:lvl>
    <w:lvl w:ilvl="1" w:tplc="9D5C8162">
      <w:numFmt w:val="bullet"/>
      <w:lvlText w:val="•"/>
      <w:lvlJc w:val="left"/>
      <w:pPr>
        <w:ind w:left="396" w:hanging="186"/>
      </w:pPr>
      <w:rPr>
        <w:rFonts w:hint="default"/>
        <w:lang w:val="tr-TR" w:eastAsia="en-US" w:bidi="ar-SA"/>
      </w:rPr>
    </w:lvl>
    <w:lvl w:ilvl="2" w:tplc="10FE2FA0">
      <w:numFmt w:val="bullet"/>
      <w:lvlText w:val="•"/>
      <w:lvlJc w:val="left"/>
      <w:pPr>
        <w:ind w:left="492" w:hanging="186"/>
      </w:pPr>
      <w:rPr>
        <w:rFonts w:hint="default"/>
        <w:lang w:val="tr-TR" w:eastAsia="en-US" w:bidi="ar-SA"/>
      </w:rPr>
    </w:lvl>
    <w:lvl w:ilvl="3" w:tplc="70EEBA34">
      <w:numFmt w:val="bullet"/>
      <w:lvlText w:val="•"/>
      <w:lvlJc w:val="left"/>
      <w:pPr>
        <w:ind w:left="588" w:hanging="186"/>
      </w:pPr>
      <w:rPr>
        <w:rFonts w:hint="default"/>
        <w:lang w:val="tr-TR" w:eastAsia="en-US" w:bidi="ar-SA"/>
      </w:rPr>
    </w:lvl>
    <w:lvl w:ilvl="4" w:tplc="E7A416C4">
      <w:numFmt w:val="bullet"/>
      <w:lvlText w:val="•"/>
      <w:lvlJc w:val="left"/>
      <w:pPr>
        <w:ind w:left="684" w:hanging="186"/>
      </w:pPr>
      <w:rPr>
        <w:rFonts w:hint="default"/>
        <w:lang w:val="tr-TR" w:eastAsia="en-US" w:bidi="ar-SA"/>
      </w:rPr>
    </w:lvl>
    <w:lvl w:ilvl="5" w:tplc="B9706E00">
      <w:numFmt w:val="bullet"/>
      <w:lvlText w:val="•"/>
      <w:lvlJc w:val="left"/>
      <w:pPr>
        <w:ind w:left="781" w:hanging="186"/>
      </w:pPr>
      <w:rPr>
        <w:rFonts w:hint="default"/>
        <w:lang w:val="tr-TR" w:eastAsia="en-US" w:bidi="ar-SA"/>
      </w:rPr>
    </w:lvl>
    <w:lvl w:ilvl="6" w:tplc="635AD81E">
      <w:numFmt w:val="bullet"/>
      <w:lvlText w:val="•"/>
      <w:lvlJc w:val="left"/>
      <w:pPr>
        <w:ind w:left="877" w:hanging="186"/>
      </w:pPr>
      <w:rPr>
        <w:rFonts w:hint="default"/>
        <w:lang w:val="tr-TR" w:eastAsia="en-US" w:bidi="ar-SA"/>
      </w:rPr>
    </w:lvl>
    <w:lvl w:ilvl="7" w:tplc="8000EB60">
      <w:numFmt w:val="bullet"/>
      <w:lvlText w:val="•"/>
      <w:lvlJc w:val="left"/>
      <w:pPr>
        <w:ind w:left="973" w:hanging="186"/>
      </w:pPr>
      <w:rPr>
        <w:rFonts w:hint="default"/>
        <w:lang w:val="tr-TR" w:eastAsia="en-US" w:bidi="ar-SA"/>
      </w:rPr>
    </w:lvl>
    <w:lvl w:ilvl="8" w:tplc="4020628A">
      <w:numFmt w:val="bullet"/>
      <w:lvlText w:val="•"/>
      <w:lvlJc w:val="left"/>
      <w:pPr>
        <w:ind w:left="1069" w:hanging="186"/>
      </w:pPr>
      <w:rPr>
        <w:rFonts w:hint="default"/>
        <w:lang w:val="tr-TR" w:eastAsia="en-US" w:bidi="ar-SA"/>
      </w:rPr>
    </w:lvl>
  </w:abstractNum>
  <w:abstractNum w:abstractNumId="7" w15:restartNumberingAfterBreak="0">
    <w:nsid w:val="7B774FE6"/>
    <w:multiLevelType w:val="hybridMultilevel"/>
    <w:tmpl w:val="CFF0B316"/>
    <w:lvl w:ilvl="0" w:tplc="F5FA42C0">
      <w:start w:val="4"/>
      <w:numFmt w:val="decimal"/>
      <w:lvlText w:val="%1-"/>
      <w:lvlJc w:val="left"/>
      <w:pPr>
        <w:ind w:left="325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47CAA158">
      <w:numFmt w:val="bullet"/>
      <w:lvlText w:val="•"/>
      <w:lvlJc w:val="left"/>
      <w:pPr>
        <w:ind w:left="400" w:hanging="219"/>
      </w:pPr>
      <w:rPr>
        <w:rFonts w:hint="default"/>
        <w:lang w:val="tr-TR" w:eastAsia="en-US" w:bidi="ar-SA"/>
      </w:rPr>
    </w:lvl>
    <w:lvl w:ilvl="2" w:tplc="22BE544C">
      <w:numFmt w:val="bullet"/>
      <w:lvlText w:val="•"/>
      <w:lvlJc w:val="left"/>
      <w:pPr>
        <w:ind w:left="480" w:hanging="219"/>
      </w:pPr>
      <w:rPr>
        <w:rFonts w:hint="default"/>
        <w:lang w:val="tr-TR" w:eastAsia="en-US" w:bidi="ar-SA"/>
      </w:rPr>
    </w:lvl>
    <w:lvl w:ilvl="3" w:tplc="823470B6">
      <w:numFmt w:val="bullet"/>
      <w:lvlText w:val="•"/>
      <w:lvlJc w:val="left"/>
      <w:pPr>
        <w:ind w:left="560" w:hanging="219"/>
      </w:pPr>
      <w:rPr>
        <w:rFonts w:hint="default"/>
        <w:lang w:val="tr-TR" w:eastAsia="en-US" w:bidi="ar-SA"/>
      </w:rPr>
    </w:lvl>
    <w:lvl w:ilvl="4" w:tplc="734EE2BE">
      <w:numFmt w:val="bullet"/>
      <w:lvlText w:val="•"/>
      <w:lvlJc w:val="left"/>
      <w:pPr>
        <w:ind w:left="641" w:hanging="219"/>
      </w:pPr>
      <w:rPr>
        <w:rFonts w:hint="default"/>
        <w:lang w:val="tr-TR" w:eastAsia="en-US" w:bidi="ar-SA"/>
      </w:rPr>
    </w:lvl>
    <w:lvl w:ilvl="5" w:tplc="2F563D6A">
      <w:numFmt w:val="bullet"/>
      <w:lvlText w:val="•"/>
      <w:lvlJc w:val="left"/>
      <w:pPr>
        <w:ind w:left="721" w:hanging="219"/>
      </w:pPr>
      <w:rPr>
        <w:rFonts w:hint="default"/>
        <w:lang w:val="tr-TR" w:eastAsia="en-US" w:bidi="ar-SA"/>
      </w:rPr>
    </w:lvl>
    <w:lvl w:ilvl="6" w:tplc="6A72387C">
      <w:numFmt w:val="bullet"/>
      <w:lvlText w:val="•"/>
      <w:lvlJc w:val="left"/>
      <w:pPr>
        <w:ind w:left="801" w:hanging="219"/>
      </w:pPr>
      <w:rPr>
        <w:rFonts w:hint="default"/>
        <w:lang w:val="tr-TR" w:eastAsia="en-US" w:bidi="ar-SA"/>
      </w:rPr>
    </w:lvl>
    <w:lvl w:ilvl="7" w:tplc="7400B764">
      <w:numFmt w:val="bullet"/>
      <w:lvlText w:val="•"/>
      <w:lvlJc w:val="left"/>
      <w:pPr>
        <w:ind w:left="882" w:hanging="219"/>
      </w:pPr>
      <w:rPr>
        <w:rFonts w:hint="default"/>
        <w:lang w:val="tr-TR" w:eastAsia="en-US" w:bidi="ar-SA"/>
      </w:rPr>
    </w:lvl>
    <w:lvl w:ilvl="8" w:tplc="2564BAC2">
      <w:numFmt w:val="bullet"/>
      <w:lvlText w:val="•"/>
      <w:lvlJc w:val="left"/>
      <w:pPr>
        <w:ind w:left="962" w:hanging="219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0E"/>
    <w:rsid w:val="00001EDB"/>
    <w:rsid w:val="000177C7"/>
    <w:rsid w:val="000235C7"/>
    <w:rsid w:val="0002760C"/>
    <w:rsid w:val="0003342F"/>
    <w:rsid w:val="000406CB"/>
    <w:rsid w:val="00052B95"/>
    <w:rsid w:val="00067FB5"/>
    <w:rsid w:val="000A5087"/>
    <w:rsid w:val="000D61BC"/>
    <w:rsid w:val="000F5531"/>
    <w:rsid w:val="00102F35"/>
    <w:rsid w:val="00106114"/>
    <w:rsid w:val="00107816"/>
    <w:rsid w:val="0011214E"/>
    <w:rsid w:val="00125493"/>
    <w:rsid w:val="001368CD"/>
    <w:rsid w:val="001552DB"/>
    <w:rsid w:val="00171661"/>
    <w:rsid w:val="0018237B"/>
    <w:rsid w:val="00183E71"/>
    <w:rsid w:val="0019119F"/>
    <w:rsid w:val="0019250E"/>
    <w:rsid w:val="001A357C"/>
    <w:rsid w:val="001A4D9E"/>
    <w:rsid w:val="001B2FC3"/>
    <w:rsid w:val="001B3A0B"/>
    <w:rsid w:val="001B55E9"/>
    <w:rsid w:val="001C44D0"/>
    <w:rsid w:val="001C5D78"/>
    <w:rsid w:val="001D3810"/>
    <w:rsid w:val="001D3BEE"/>
    <w:rsid w:val="001F36E6"/>
    <w:rsid w:val="0020250C"/>
    <w:rsid w:val="00206780"/>
    <w:rsid w:val="00216D59"/>
    <w:rsid w:val="0027280E"/>
    <w:rsid w:val="002B3CAF"/>
    <w:rsid w:val="002B40FF"/>
    <w:rsid w:val="002C18AB"/>
    <w:rsid w:val="002C1F93"/>
    <w:rsid w:val="002C548F"/>
    <w:rsid w:val="002D0327"/>
    <w:rsid w:val="002F0DF9"/>
    <w:rsid w:val="002F5C62"/>
    <w:rsid w:val="00313F50"/>
    <w:rsid w:val="00314905"/>
    <w:rsid w:val="00357501"/>
    <w:rsid w:val="003632D3"/>
    <w:rsid w:val="003771B5"/>
    <w:rsid w:val="003908BE"/>
    <w:rsid w:val="00391804"/>
    <w:rsid w:val="0039515F"/>
    <w:rsid w:val="003B017D"/>
    <w:rsid w:val="003B2280"/>
    <w:rsid w:val="003B582B"/>
    <w:rsid w:val="003C7232"/>
    <w:rsid w:val="003D1162"/>
    <w:rsid w:val="003D1E82"/>
    <w:rsid w:val="003E5544"/>
    <w:rsid w:val="004014B4"/>
    <w:rsid w:val="00436942"/>
    <w:rsid w:val="00461F1B"/>
    <w:rsid w:val="00462628"/>
    <w:rsid w:val="004777B8"/>
    <w:rsid w:val="00486E2D"/>
    <w:rsid w:val="004A4D94"/>
    <w:rsid w:val="005008B6"/>
    <w:rsid w:val="00516AE5"/>
    <w:rsid w:val="00533ACB"/>
    <w:rsid w:val="005400D9"/>
    <w:rsid w:val="0055306B"/>
    <w:rsid w:val="00570802"/>
    <w:rsid w:val="00572984"/>
    <w:rsid w:val="005773BF"/>
    <w:rsid w:val="0059166A"/>
    <w:rsid w:val="00592730"/>
    <w:rsid w:val="005953B7"/>
    <w:rsid w:val="00596425"/>
    <w:rsid w:val="005A13BF"/>
    <w:rsid w:val="005A728D"/>
    <w:rsid w:val="005C4DE8"/>
    <w:rsid w:val="0061064E"/>
    <w:rsid w:val="00630190"/>
    <w:rsid w:val="00643D8E"/>
    <w:rsid w:val="006574FE"/>
    <w:rsid w:val="00667A76"/>
    <w:rsid w:val="0068232F"/>
    <w:rsid w:val="006832E6"/>
    <w:rsid w:val="00691CD6"/>
    <w:rsid w:val="006A1648"/>
    <w:rsid w:val="006A3D71"/>
    <w:rsid w:val="006B44A4"/>
    <w:rsid w:val="006B5926"/>
    <w:rsid w:val="006C12AF"/>
    <w:rsid w:val="006D3A3A"/>
    <w:rsid w:val="006E5B04"/>
    <w:rsid w:val="006E691D"/>
    <w:rsid w:val="00702C75"/>
    <w:rsid w:val="00745E06"/>
    <w:rsid w:val="00755D87"/>
    <w:rsid w:val="00787383"/>
    <w:rsid w:val="007B16E5"/>
    <w:rsid w:val="007B3064"/>
    <w:rsid w:val="007D6F34"/>
    <w:rsid w:val="00805D42"/>
    <w:rsid w:val="008515C8"/>
    <w:rsid w:val="00861CCF"/>
    <w:rsid w:val="00863D39"/>
    <w:rsid w:val="00874D54"/>
    <w:rsid w:val="00891596"/>
    <w:rsid w:val="008B282B"/>
    <w:rsid w:val="008B7877"/>
    <w:rsid w:val="00906A89"/>
    <w:rsid w:val="00915F4E"/>
    <w:rsid w:val="0091615B"/>
    <w:rsid w:val="00917D29"/>
    <w:rsid w:val="00956785"/>
    <w:rsid w:val="00965610"/>
    <w:rsid w:val="009716A8"/>
    <w:rsid w:val="00983D29"/>
    <w:rsid w:val="009C7173"/>
    <w:rsid w:val="009D3B8C"/>
    <w:rsid w:val="009D793C"/>
    <w:rsid w:val="009F2B53"/>
    <w:rsid w:val="009F3D85"/>
    <w:rsid w:val="009F7B9B"/>
    <w:rsid w:val="00A47487"/>
    <w:rsid w:val="00A50483"/>
    <w:rsid w:val="00A51C32"/>
    <w:rsid w:val="00A57B7B"/>
    <w:rsid w:val="00A65FC6"/>
    <w:rsid w:val="00A72EB3"/>
    <w:rsid w:val="00A74882"/>
    <w:rsid w:val="00A82B4B"/>
    <w:rsid w:val="00A84B3A"/>
    <w:rsid w:val="00AB57DF"/>
    <w:rsid w:val="00AC05CD"/>
    <w:rsid w:val="00AC4C32"/>
    <w:rsid w:val="00AD0419"/>
    <w:rsid w:val="00B07EFA"/>
    <w:rsid w:val="00B10C14"/>
    <w:rsid w:val="00B26B5B"/>
    <w:rsid w:val="00B3364F"/>
    <w:rsid w:val="00B62438"/>
    <w:rsid w:val="00B66A49"/>
    <w:rsid w:val="00B84911"/>
    <w:rsid w:val="00B87A3F"/>
    <w:rsid w:val="00B90228"/>
    <w:rsid w:val="00B923B3"/>
    <w:rsid w:val="00BA365D"/>
    <w:rsid w:val="00BD06CD"/>
    <w:rsid w:val="00BE2811"/>
    <w:rsid w:val="00C0330B"/>
    <w:rsid w:val="00C17194"/>
    <w:rsid w:val="00C23F97"/>
    <w:rsid w:val="00C24BEF"/>
    <w:rsid w:val="00C4569A"/>
    <w:rsid w:val="00C463CF"/>
    <w:rsid w:val="00C6364F"/>
    <w:rsid w:val="00C91955"/>
    <w:rsid w:val="00CF2EAD"/>
    <w:rsid w:val="00D035BE"/>
    <w:rsid w:val="00D11C03"/>
    <w:rsid w:val="00D223B1"/>
    <w:rsid w:val="00D23397"/>
    <w:rsid w:val="00D243CA"/>
    <w:rsid w:val="00D33875"/>
    <w:rsid w:val="00D805E4"/>
    <w:rsid w:val="00D82469"/>
    <w:rsid w:val="00DA49A8"/>
    <w:rsid w:val="00DD5A0B"/>
    <w:rsid w:val="00E1540C"/>
    <w:rsid w:val="00E16A6F"/>
    <w:rsid w:val="00E34137"/>
    <w:rsid w:val="00E45C91"/>
    <w:rsid w:val="00E500A8"/>
    <w:rsid w:val="00E73FE8"/>
    <w:rsid w:val="00E97F42"/>
    <w:rsid w:val="00EB36CF"/>
    <w:rsid w:val="00ED7582"/>
    <w:rsid w:val="00EF6AD0"/>
    <w:rsid w:val="00F32DD7"/>
    <w:rsid w:val="00F366E1"/>
    <w:rsid w:val="00F9362B"/>
    <w:rsid w:val="00FA018B"/>
    <w:rsid w:val="00FB0BE6"/>
    <w:rsid w:val="00FC1329"/>
    <w:rsid w:val="00FC5DC1"/>
    <w:rsid w:val="00FD465A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1B1F1"/>
  <w15:docId w15:val="{D5239C2E-031D-4976-A60E-0F8BCDA2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1"/>
      <w:ind w:left="1061" w:right="20"/>
      <w:jc w:val="center"/>
      <w:outlineLvl w:val="0"/>
    </w:pPr>
    <w:rPr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1" w:right="1"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0"/>
      <w:ind w:left="1576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YerTutucuMetni">
    <w:name w:val="Placeholder Text"/>
    <w:basedOn w:val="VarsaylanParagrafYazTipi"/>
    <w:uiPriority w:val="99"/>
    <w:semiHidden/>
    <w:rsid w:val="00B07EFA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3B22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228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B22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228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3B2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927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5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C5D7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C5D78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C5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7413DF-379A-4041-9B9F-F9E3B3BF9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65F7E-B43C-4008-A130-08CEA9F4F993}"/>
</file>

<file path=customXml/itemProps3.xml><?xml version="1.0" encoding="utf-8"?>
<ds:datastoreItem xmlns:ds="http://schemas.openxmlformats.org/officeDocument/2006/customXml" ds:itemID="{3DA6CD08-326F-4AA6-99B8-A61B91CC0A0C}"/>
</file>

<file path=customXml/itemProps4.xml><?xml version="1.0" encoding="utf-8"?>
<ds:datastoreItem xmlns:ds="http://schemas.openxmlformats.org/officeDocument/2006/customXml" ds:itemID="{825727D3-65C6-46A3-AB85-EC9106350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Mansur ULUCA</dc:creator>
  <cp:lastModifiedBy>Sema YALÇIN</cp:lastModifiedBy>
  <cp:revision>7</cp:revision>
  <cp:lastPrinted>2025-05-14T07:15:00Z</cp:lastPrinted>
  <dcterms:created xsi:type="dcterms:W3CDTF">2025-06-03T12:50:00Z</dcterms:created>
  <dcterms:modified xsi:type="dcterms:W3CDTF">2025-06-03T13:50:00Z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2020-11-11T00:00:00Z</vt:filetime>
  </property>
  <property fmtid="{D5CDD505-2E9C-101B-9397-08002B2CF9AE}" pid="5" name="ContentTypeId">
    <vt:lpwstr>0x010100C10655CAD4E89E48A8C5473085C60FA3</vt:lpwstr>
  </property>
</Properties>
</file>